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182" w:firstLineChars="494"/>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香河县国土资源局</w:t>
      </w:r>
      <w:r>
        <w:rPr>
          <w:b/>
          <w:sz w:val="44"/>
          <w:szCs w:val="44"/>
        </w:rPr>
        <w:t>部门</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ascii="仿宋" w:hAnsi="仿宋" w:eastAsia="仿宋"/>
          <w:sz w:val="24"/>
          <w:szCs w:val="32"/>
        </w:rPr>
      </w:pPr>
      <w:r>
        <w:rPr>
          <w:rFonts w:ascii="仿宋" w:hAnsi="仿宋" w:eastAsia="仿宋"/>
          <w:sz w:val="32"/>
          <w:szCs w:val="32"/>
        </w:rPr>
        <w:t>第一部分</w:t>
      </w:r>
      <w:r>
        <w:rPr>
          <w:rFonts w:hint="eastAsia" w:ascii="仿宋" w:hAnsi="仿宋" w:eastAsia="仿宋"/>
          <w:sz w:val="32"/>
          <w:szCs w:val="32"/>
        </w:rPr>
        <w:t xml:space="preserve">  </w:t>
      </w:r>
      <w:r>
        <w:rPr>
          <w:rFonts w:ascii="仿宋" w:hAnsi="仿宋" w:eastAsia="仿宋"/>
          <w:sz w:val="32"/>
          <w:szCs w:val="32"/>
        </w:rPr>
        <w:t>部门概况</w:t>
      </w:r>
    </w:p>
    <w:p>
      <w:pPr>
        <w:widowControl/>
        <w:spacing w:line="580" w:lineRule="exact"/>
        <w:ind w:firstLine="1273" w:firstLineChars="398"/>
        <w:rPr>
          <w:rFonts w:ascii="仿宋" w:hAnsi="仿宋" w:eastAsia="仿宋"/>
          <w:sz w:val="32"/>
          <w:szCs w:val="32"/>
        </w:rPr>
      </w:pPr>
      <w:r>
        <w:rPr>
          <w:rFonts w:ascii="仿宋" w:hAnsi="仿宋" w:eastAsia="仿宋"/>
          <w:sz w:val="32"/>
          <w:szCs w:val="32"/>
        </w:rPr>
        <w:t>一、部门</w:t>
      </w:r>
      <w:r>
        <w:rPr>
          <w:rFonts w:hint="eastAsia" w:ascii="仿宋" w:hAnsi="仿宋" w:eastAsia="仿宋"/>
          <w:sz w:val="32"/>
          <w:szCs w:val="32"/>
        </w:rPr>
        <w:t>职责</w:t>
      </w:r>
    </w:p>
    <w:p>
      <w:pPr>
        <w:widowControl/>
        <w:spacing w:line="580" w:lineRule="exact"/>
        <w:ind w:firstLine="1273" w:firstLineChars="398"/>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机构设置</w:t>
      </w:r>
    </w:p>
    <w:p>
      <w:pPr>
        <w:widowControl/>
        <w:spacing w:line="580" w:lineRule="exact"/>
        <w:ind w:firstLine="640" w:firstLineChars="200"/>
        <w:rPr>
          <w:rFonts w:ascii="仿宋" w:hAnsi="仿宋" w:eastAsia="仿宋"/>
          <w:sz w:val="20"/>
          <w:szCs w:val="32"/>
        </w:rPr>
      </w:pPr>
      <w:r>
        <w:rPr>
          <w:rFonts w:ascii="仿宋" w:hAnsi="仿宋" w:eastAsia="仿宋"/>
          <w:sz w:val="32"/>
          <w:szCs w:val="32"/>
        </w:rPr>
        <w:t>第二部分   201</w:t>
      </w:r>
      <w:r>
        <w:rPr>
          <w:rFonts w:hint="eastAsia" w:ascii="仿宋" w:hAnsi="仿宋" w:eastAsia="仿宋"/>
          <w:sz w:val="32"/>
          <w:szCs w:val="32"/>
        </w:rPr>
        <w:t>8</w:t>
      </w:r>
      <w:r>
        <w:rPr>
          <w:rFonts w:ascii="仿宋" w:hAnsi="仿宋" w:eastAsia="仿宋"/>
          <w:sz w:val="32"/>
          <w:szCs w:val="32"/>
        </w:rPr>
        <w:t>年度部门决算报表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一、收入支出决算总表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二、收入决算表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三、支出决算表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四、财政拨款收入支出决算总表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五、一般公共预算财政拨款支出决算表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六、一般公共预算财政拨款基本支出决算表</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七、</w:t>
      </w:r>
      <w:r>
        <w:rPr>
          <w:rFonts w:hint="eastAsia" w:ascii="仿宋" w:hAnsi="仿宋" w:eastAsia="仿宋"/>
          <w:sz w:val="32"/>
          <w:szCs w:val="32"/>
        </w:rPr>
        <w:t>一般公共预算财政拨款</w:t>
      </w:r>
      <w:r>
        <w:rPr>
          <w:rFonts w:ascii="仿宋" w:hAnsi="仿宋" w:eastAsia="仿宋"/>
          <w:sz w:val="32"/>
          <w:szCs w:val="32"/>
        </w:rPr>
        <w:t>“三公”经费</w:t>
      </w:r>
      <w:r>
        <w:rPr>
          <w:rFonts w:hint="eastAsia" w:ascii="仿宋" w:hAnsi="仿宋" w:eastAsia="仿宋"/>
          <w:sz w:val="32"/>
          <w:szCs w:val="32"/>
        </w:rPr>
        <w:t>支出决算表</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八、</w:t>
      </w:r>
      <w:r>
        <w:rPr>
          <w:rFonts w:ascii="仿宋" w:hAnsi="仿宋" w:eastAsia="仿宋"/>
          <w:sz w:val="32"/>
          <w:szCs w:val="32"/>
        </w:rPr>
        <w:t>政府性基金预算财政拨款收入支出决算表</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九</w:t>
      </w:r>
      <w:r>
        <w:rPr>
          <w:rFonts w:ascii="仿宋" w:hAnsi="仿宋" w:eastAsia="仿宋"/>
          <w:sz w:val="32"/>
          <w:szCs w:val="32"/>
        </w:rPr>
        <w:t>、国有资本经营预算</w:t>
      </w:r>
      <w:r>
        <w:rPr>
          <w:rFonts w:hint="eastAsia" w:ascii="仿宋" w:hAnsi="仿宋" w:eastAsia="仿宋"/>
          <w:sz w:val="32"/>
          <w:szCs w:val="32"/>
        </w:rPr>
        <w:t>财政拨款</w:t>
      </w:r>
      <w:r>
        <w:rPr>
          <w:rFonts w:ascii="仿宋" w:hAnsi="仿宋" w:eastAsia="仿宋"/>
          <w:sz w:val="32"/>
          <w:szCs w:val="32"/>
        </w:rPr>
        <w:t>支出决算表</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十</w:t>
      </w:r>
      <w:r>
        <w:rPr>
          <w:rFonts w:ascii="仿宋" w:hAnsi="仿宋" w:eastAsia="仿宋"/>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ascii="仿宋" w:hAnsi="仿宋" w:eastAsia="仿宋"/>
          <w:sz w:val="32"/>
          <w:szCs w:val="32"/>
        </w:rPr>
      </w:pPr>
      <w:r>
        <w:rPr>
          <w:rFonts w:ascii="仿宋" w:hAnsi="仿宋" w:eastAsia="仿宋"/>
          <w:sz w:val="32"/>
          <w:szCs w:val="32"/>
        </w:rPr>
        <w:t xml:space="preserve">第三部分 </w:t>
      </w:r>
      <w:r>
        <w:rPr>
          <w:rFonts w:hint="eastAsia" w:ascii="仿宋" w:hAnsi="仿宋" w:eastAsia="仿宋"/>
          <w:sz w:val="32"/>
          <w:szCs w:val="32"/>
        </w:rPr>
        <w:t>香河县国土资源局</w:t>
      </w:r>
      <w:r>
        <w:rPr>
          <w:rFonts w:ascii="仿宋" w:hAnsi="仿宋" w:eastAsia="仿宋"/>
          <w:sz w:val="32"/>
          <w:szCs w:val="32"/>
        </w:rPr>
        <w:t>部门201</w:t>
      </w:r>
      <w:r>
        <w:rPr>
          <w:rFonts w:hint="eastAsia" w:ascii="仿宋" w:hAnsi="仿宋" w:eastAsia="仿宋"/>
          <w:sz w:val="32"/>
          <w:szCs w:val="32"/>
        </w:rPr>
        <w:t>8</w:t>
      </w:r>
      <w:r>
        <w:rPr>
          <w:rFonts w:ascii="仿宋" w:hAnsi="仿宋" w:eastAsia="仿宋"/>
          <w:sz w:val="32"/>
          <w:szCs w:val="32"/>
        </w:rPr>
        <w:t>年部门决算情况说明</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一、收入支出决算总体情况说明</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二、收入决算情况说明</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三、支出决算情况说明</w:t>
      </w:r>
    </w:p>
    <w:p>
      <w:pPr>
        <w:widowControl/>
        <w:spacing w:line="580" w:lineRule="exact"/>
        <w:ind w:left="640" w:firstLine="640" w:firstLineChars="200"/>
        <w:rPr>
          <w:rFonts w:ascii="仿宋" w:hAnsi="仿宋" w:eastAsia="仿宋"/>
          <w:sz w:val="32"/>
          <w:szCs w:val="32"/>
        </w:rPr>
      </w:pPr>
      <w:r>
        <w:rPr>
          <w:rFonts w:ascii="仿宋" w:hAnsi="仿宋" w:eastAsia="仿宋"/>
          <w:sz w:val="32"/>
          <w:szCs w:val="32"/>
        </w:rPr>
        <w:t>四、财政拨款收入支出决算情况说明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五、一般公共预算财政拨款</w:t>
      </w:r>
      <w:r>
        <w:rPr>
          <w:rFonts w:ascii="仿宋" w:hAnsi="仿宋" w:eastAsia="仿宋"/>
          <w:sz w:val="32"/>
          <w:szCs w:val="32"/>
        </w:rPr>
        <w:t>“三公”经费支出决算情况说明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、预算绩效情况说明</w:t>
      </w:r>
    </w:p>
    <w:p>
      <w:pPr>
        <w:widowControl/>
        <w:spacing w:line="580" w:lineRule="exact"/>
        <w:ind w:left="640" w:firstLine="640" w:firstLineChars="200"/>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、其他重要事项的说明</w:t>
      </w:r>
    </w:p>
    <w:p>
      <w:pPr>
        <w:widowControl/>
        <w:spacing w:line="580" w:lineRule="exact"/>
        <w:ind w:firstLine="640" w:firstLineChars="200"/>
        <w:rPr>
          <w:rFonts w:ascii="仿宋" w:hAnsi="仿宋" w:eastAsia="仿宋"/>
          <w:sz w:val="32"/>
          <w:szCs w:val="32"/>
        </w:rPr>
      </w:pPr>
      <w:r>
        <w:rPr>
          <w:rFonts w:ascii="仿宋" w:hAnsi="仿宋" w:eastAsia="仿宋"/>
          <w:sz w:val="32"/>
          <w:szCs w:val="32"/>
        </w:rPr>
        <w:t>第四部分</w:t>
      </w:r>
      <w:r>
        <w:rPr>
          <w:rFonts w:hint="eastAsia" w:ascii="仿宋" w:hAnsi="仿宋" w:eastAsia="仿宋"/>
          <w:sz w:val="32"/>
          <w:szCs w:val="32"/>
        </w:rPr>
        <w:t xml:space="preserve">  </w:t>
      </w:r>
      <w:r>
        <w:rPr>
          <w:rFonts w:ascii="仿宋" w:hAnsi="仿宋" w:eastAsia="仿宋"/>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rPr>
          <w:rFonts w:ascii="仿宋" w:hAnsi="仿宋" w:eastAsia="仿宋" w:cs="仿宋"/>
          <w:sz w:val="32"/>
          <w:szCs w:val="32"/>
        </w:rPr>
      </w:pPr>
      <w:r>
        <w:rPr>
          <w:rFonts w:hint="eastAsia" w:ascii="仿宋" w:hAnsi="仿宋" w:eastAsia="仿宋" w:cs="仿宋"/>
          <w:sz w:val="32"/>
          <w:szCs w:val="32"/>
        </w:rPr>
        <w:t>（一）、负责县域内土地管理法律、法规、地质矿产资源管理法律、法规的宣传、贯彻、实施。</w:t>
      </w:r>
    </w:p>
    <w:p>
      <w:pPr>
        <w:rPr>
          <w:rFonts w:ascii="仿宋" w:hAnsi="仿宋" w:eastAsia="仿宋" w:cs="仿宋"/>
          <w:sz w:val="32"/>
          <w:szCs w:val="32"/>
        </w:rPr>
      </w:pPr>
      <w:r>
        <w:rPr>
          <w:rFonts w:hint="eastAsia" w:ascii="仿宋" w:hAnsi="仿宋" w:eastAsia="仿宋" w:cs="仿宋"/>
          <w:sz w:val="32"/>
          <w:szCs w:val="32"/>
        </w:rPr>
        <w:t>（二）、负责县域内土地利用总体规划、土地利用和保护、地籍管理及土地权属登记、发证管理工作。</w:t>
      </w:r>
    </w:p>
    <w:p>
      <w:pPr>
        <w:rPr>
          <w:rFonts w:ascii="仿宋" w:hAnsi="仿宋" w:eastAsia="仿宋" w:cs="仿宋"/>
          <w:sz w:val="32"/>
          <w:szCs w:val="32"/>
        </w:rPr>
      </w:pPr>
      <w:r>
        <w:rPr>
          <w:rFonts w:hint="eastAsia" w:ascii="仿宋" w:hAnsi="仿宋" w:eastAsia="仿宋" w:cs="仿宋"/>
          <w:sz w:val="32"/>
          <w:szCs w:val="32"/>
        </w:rPr>
        <w:t>（三）、负责县域内建设用地的审核、呈报及管理工作。</w:t>
      </w:r>
    </w:p>
    <w:p>
      <w:pPr>
        <w:rPr>
          <w:rFonts w:ascii="仿宋" w:hAnsi="仿宋" w:eastAsia="仿宋" w:cs="仿宋"/>
          <w:sz w:val="32"/>
          <w:szCs w:val="32"/>
        </w:rPr>
      </w:pPr>
      <w:r>
        <w:rPr>
          <w:rFonts w:hint="eastAsia" w:ascii="仿宋" w:hAnsi="仿宋" w:eastAsia="仿宋" w:cs="仿宋"/>
          <w:sz w:val="32"/>
          <w:szCs w:val="32"/>
        </w:rPr>
        <w:t>（四）、负责县域内土地执法监察和违法用地查处工作。</w:t>
      </w:r>
    </w:p>
    <w:p>
      <w:pPr>
        <w:rPr>
          <w:rFonts w:ascii="仿宋" w:hAnsi="仿宋" w:eastAsia="仿宋" w:cs="仿宋"/>
          <w:sz w:val="32"/>
          <w:szCs w:val="32"/>
        </w:rPr>
      </w:pPr>
      <w:r>
        <w:rPr>
          <w:rFonts w:hint="eastAsia" w:ascii="仿宋" w:hAnsi="仿宋" w:eastAsia="仿宋" w:cs="仿宋"/>
          <w:sz w:val="32"/>
          <w:szCs w:val="32"/>
        </w:rPr>
        <w:t>（五）、负责县域内地质矿产资源管理工作。</w:t>
      </w:r>
    </w:p>
    <w:p>
      <w:pPr>
        <w:rPr>
          <w:rFonts w:ascii="仿宋" w:hAnsi="仿宋" w:eastAsia="仿宋"/>
          <w:kern w:val="0"/>
          <w:sz w:val="32"/>
          <w:szCs w:val="32"/>
        </w:rPr>
      </w:pPr>
      <w:r>
        <w:rPr>
          <w:rFonts w:hint="eastAsia" w:ascii="仿宋" w:hAnsi="仿宋" w:eastAsia="仿宋" w:cs="仿宋"/>
          <w:sz w:val="32"/>
          <w:szCs w:val="32"/>
        </w:rPr>
        <w:t>（六）、负责县域内土地二、三级市场管理工作。</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 w:hAnsi="仿宋" w:eastAsia="仿宋" w:cs="仿宋"/>
          <w:sz w:val="32"/>
          <w:szCs w:val="32"/>
        </w:rPr>
      </w:pPr>
      <w:r>
        <w:rPr>
          <w:rFonts w:hint="eastAsia" w:ascii="仿宋" w:hAnsi="仿宋" w:eastAsia="仿宋" w:cs="仿宋"/>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 w:hAnsi="仿宋" w:eastAsia="仿宋" w:cs="仿宋"/>
                <w:sz w:val="32"/>
                <w:szCs w:val="32"/>
              </w:rPr>
            </w:pPr>
            <w:r>
              <w:rPr>
                <w:rFonts w:hint="eastAsia" w:ascii="仿宋" w:hAnsi="仿宋" w:eastAsia="仿宋" w:cs="仿宋"/>
                <w:sz w:val="32"/>
                <w:szCs w:val="32"/>
              </w:rPr>
              <w:t>序号</w:t>
            </w:r>
          </w:p>
        </w:tc>
        <w:tc>
          <w:tcPr>
            <w:tcW w:w="3485" w:type="dxa"/>
            <w:vAlign w:val="center"/>
          </w:tcPr>
          <w:p>
            <w:pPr>
              <w:spacing w:after="0" w:line="560" w:lineRule="exact"/>
              <w:jc w:val="center"/>
              <w:rPr>
                <w:rFonts w:ascii="仿宋" w:hAnsi="仿宋" w:eastAsia="仿宋" w:cs="仿宋"/>
                <w:sz w:val="32"/>
                <w:szCs w:val="32"/>
              </w:rPr>
            </w:pPr>
            <w:r>
              <w:rPr>
                <w:rFonts w:hint="eastAsia" w:ascii="仿宋" w:hAnsi="仿宋" w:eastAsia="仿宋" w:cs="仿宋"/>
                <w:sz w:val="32"/>
                <w:szCs w:val="32"/>
              </w:rPr>
              <w:t>单位名称</w:t>
            </w:r>
          </w:p>
        </w:tc>
        <w:tc>
          <w:tcPr>
            <w:tcW w:w="2445" w:type="dxa"/>
            <w:vAlign w:val="center"/>
          </w:tcPr>
          <w:p>
            <w:pPr>
              <w:spacing w:after="0" w:line="560" w:lineRule="exact"/>
              <w:jc w:val="center"/>
              <w:rPr>
                <w:rFonts w:ascii="仿宋" w:hAnsi="仿宋" w:eastAsia="仿宋" w:cs="仿宋"/>
                <w:sz w:val="32"/>
                <w:szCs w:val="32"/>
              </w:rPr>
            </w:pPr>
            <w:r>
              <w:rPr>
                <w:rFonts w:hint="eastAsia" w:ascii="仿宋" w:hAnsi="仿宋" w:eastAsia="仿宋" w:cs="仿宋"/>
                <w:sz w:val="32"/>
                <w:szCs w:val="32"/>
              </w:rPr>
              <w:t>单位基本性质</w:t>
            </w:r>
          </w:p>
        </w:tc>
        <w:tc>
          <w:tcPr>
            <w:tcW w:w="2665" w:type="dxa"/>
            <w:vAlign w:val="center"/>
          </w:tcPr>
          <w:p>
            <w:pPr>
              <w:spacing w:after="0" w:line="560" w:lineRule="exact"/>
              <w:jc w:val="center"/>
              <w:rPr>
                <w:rFonts w:ascii="仿宋" w:hAnsi="仿宋" w:eastAsia="仿宋" w:cs="仿宋"/>
                <w:sz w:val="32"/>
                <w:szCs w:val="32"/>
              </w:rPr>
            </w:pPr>
            <w:r>
              <w:rPr>
                <w:rFonts w:hint="eastAsia" w:ascii="仿宋" w:hAnsi="仿宋" w:eastAsia="仿宋" w:cs="仿宋"/>
                <w:sz w:val="32"/>
                <w:szCs w:val="32"/>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 w:hAnsi="仿宋" w:eastAsia="仿宋" w:cs="仿宋"/>
                <w:sz w:val="32"/>
                <w:szCs w:val="32"/>
              </w:rPr>
            </w:pPr>
            <w:r>
              <w:rPr>
                <w:rFonts w:hint="eastAsia" w:ascii="仿宋" w:hAnsi="仿宋" w:eastAsia="仿宋" w:cs="仿宋"/>
                <w:sz w:val="32"/>
                <w:szCs w:val="32"/>
              </w:rPr>
              <w:t>1</w:t>
            </w:r>
          </w:p>
        </w:tc>
        <w:tc>
          <w:tcPr>
            <w:tcW w:w="3485" w:type="dxa"/>
          </w:tcPr>
          <w:p>
            <w:pPr>
              <w:spacing w:after="0" w:line="560" w:lineRule="exact"/>
              <w:rPr>
                <w:rFonts w:ascii="仿宋" w:hAnsi="仿宋" w:eastAsia="仿宋" w:cs="仿宋"/>
                <w:sz w:val="32"/>
                <w:szCs w:val="32"/>
              </w:rPr>
            </w:pPr>
            <w:r>
              <w:rPr>
                <w:rFonts w:hint="eastAsia" w:ascii="仿宋" w:hAnsi="仿宋" w:eastAsia="仿宋" w:cs="仿宋"/>
                <w:sz w:val="32"/>
                <w:szCs w:val="32"/>
              </w:rPr>
              <w:t>香河县国土资源局</w:t>
            </w:r>
          </w:p>
        </w:tc>
        <w:tc>
          <w:tcPr>
            <w:tcW w:w="2445" w:type="dxa"/>
          </w:tcPr>
          <w:p>
            <w:pPr>
              <w:spacing w:after="0" w:line="560" w:lineRule="exact"/>
              <w:jc w:val="center"/>
              <w:rPr>
                <w:rFonts w:ascii="仿宋" w:hAnsi="仿宋" w:eastAsia="仿宋" w:cs="仿宋"/>
                <w:sz w:val="32"/>
                <w:szCs w:val="32"/>
              </w:rPr>
            </w:pPr>
            <w:r>
              <w:rPr>
                <w:rFonts w:hint="eastAsia" w:ascii="仿宋" w:hAnsi="仿宋" w:eastAsia="仿宋" w:cs="仿宋"/>
                <w:sz w:val="32"/>
                <w:szCs w:val="32"/>
              </w:rPr>
              <w:t>行政单位</w:t>
            </w:r>
          </w:p>
        </w:tc>
        <w:tc>
          <w:tcPr>
            <w:tcW w:w="2665" w:type="dxa"/>
          </w:tcPr>
          <w:p>
            <w:pPr>
              <w:spacing w:after="0" w:line="560" w:lineRule="exact"/>
              <w:jc w:val="center"/>
              <w:rPr>
                <w:rFonts w:ascii="仿宋" w:hAnsi="仿宋" w:eastAsia="仿宋" w:cs="仿宋"/>
                <w:sz w:val="32"/>
                <w:szCs w:val="32"/>
              </w:rPr>
            </w:pPr>
            <w:r>
              <w:rPr>
                <w:rFonts w:hint="eastAsia" w:ascii="仿宋" w:hAnsi="仿宋" w:eastAsia="仿宋" w:cs="仿宋"/>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Ind w:w="0" w:type="dxa"/>
        <w:tblLayout w:type="fixed"/>
        <w:tblCellMar>
          <w:top w:w="0" w:type="dxa"/>
          <w:left w:w="0" w:type="dxa"/>
          <w:bottom w:w="0" w:type="dxa"/>
          <w:right w:w="0" w:type="dxa"/>
        </w:tblCellMar>
      </w:tblPr>
      <w:tblGrid>
        <w:gridCol w:w="289"/>
        <w:gridCol w:w="44"/>
        <w:gridCol w:w="178"/>
        <w:gridCol w:w="64"/>
        <w:gridCol w:w="455"/>
        <w:gridCol w:w="348"/>
        <w:gridCol w:w="969"/>
        <w:gridCol w:w="348"/>
        <w:gridCol w:w="85"/>
        <w:gridCol w:w="100"/>
        <w:gridCol w:w="261"/>
        <w:gridCol w:w="126"/>
        <w:gridCol w:w="310"/>
        <w:gridCol w:w="379"/>
        <w:gridCol w:w="231"/>
        <w:gridCol w:w="72"/>
        <w:gridCol w:w="344"/>
        <w:gridCol w:w="58"/>
        <w:gridCol w:w="111"/>
        <w:gridCol w:w="336"/>
        <w:gridCol w:w="271"/>
        <w:gridCol w:w="208"/>
        <w:gridCol w:w="157"/>
        <w:gridCol w:w="284"/>
        <w:gridCol w:w="374"/>
        <w:gridCol w:w="95"/>
        <w:gridCol w:w="331"/>
        <w:gridCol w:w="121"/>
        <w:gridCol w:w="354"/>
        <w:gridCol w:w="314"/>
        <w:gridCol w:w="253"/>
        <w:gridCol w:w="41"/>
        <w:gridCol w:w="885"/>
        <w:gridCol w:w="199"/>
        <w:gridCol w:w="305"/>
      </w:tblGrid>
      <w:tr>
        <w:tblPrEx>
          <w:tblLayout w:type="fixed"/>
          <w:tblCellMar>
            <w:top w:w="0" w:type="dxa"/>
            <w:left w:w="0" w:type="dxa"/>
            <w:bottom w:w="0" w:type="dxa"/>
            <w:right w:w="0" w:type="dxa"/>
          </w:tblCellMar>
        </w:tblPrEx>
        <w:trPr>
          <w:trHeight w:val="567" w:hRule="atLeast"/>
          <w:jc w:val="center"/>
        </w:trPr>
        <w:tc>
          <w:tcPr>
            <w:tcW w:w="9300" w:type="dxa"/>
            <w:gridSpan w:val="35"/>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695" w:type="dxa"/>
            <w:gridSpan w:val="8"/>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72"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2695" w:type="dxa"/>
            <w:gridSpan w:val="8"/>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ascii="宋体" w:hAnsi="宋体" w:cs="宋体"/>
                <w:color w:val="000000"/>
                <w:sz w:val="20"/>
                <w:szCs w:val="20"/>
              </w:rPr>
              <w:t xml:space="preserve"> </w:t>
            </w:r>
            <w:r>
              <w:rPr>
                <w:rFonts w:hint="eastAsia" w:ascii="宋体" w:hAnsi="宋体" w:cs="宋体"/>
                <w:color w:val="000000"/>
                <w:sz w:val="20"/>
                <w:szCs w:val="20"/>
              </w:rPr>
              <w:t>香河县国土资源局</w:t>
            </w:r>
          </w:p>
        </w:tc>
        <w:tc>
          <w:tcPr>
            <w:tcW w:w="572"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1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1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ascii="宋体" w:hAnsi="宋体" w:cs="Arial"/>
                <w:color w:val="000000"/>
                <w:kern w:val="0"/>
                <w:sz w:val="22"/>
                <w:szCs w:val="22"/>
              </w:rPr>
              <w:t>3683.35</w:t>
            </w: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305.77</w:t>
            </w: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44.72</w:t>
            </w: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1513.1</w:t>
            </w: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1942.77</w:t>
            </w: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75.28</w:t>
            </w: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ascii="宋体" w:hAnsi="宋体" w:cs="Arial"/>
                <w:color w:val="000000"/>
                <w:kern w:val="0"/>
                <w:sz w:val="22"/>
                <w:szCs w:val="22"/>
              </w:rPr>
              <w:t>3683.35</w:t>
            </w: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3881.64</w:t>
            </w:r>
          </w:p>
        </w:tc>
      </w:tr>
      <w:tr>
        <w:tblPrEx>
          <w:tblLayout w:type="fixed"/>
          <w:tblCellMar>
            <w:top w:w="0" w:type="dxa"/>
            <w:left w:w="0" w:type="dxa"/>
            <w:bottom w:w="0" w:type="dxa"/>
            <w:right w:w="0" w:type="dxa"/>
          </w:tblCellMar>
        </w:tblPrEx>
        <w:trPr>
          <w:trHeight w:val="385"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242.71</w:t>
            </w: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44.41</w:t>
            </w:r>
          </w:p>
        </w:tc>
      </w:tr>
      <w:tr>
        <w:tblPrEx>
          <w:tblLayout w:type="fixed"/>
          <w:tblCellMar>
            <w:top w:w="0" w:type="dxa"/>
            <w:left w:w="0" w:type="dxa"/>
            <w:bottom w:w="0" w:type="dxa"/>
            <w:right w:w="0" w:type="dxa"/>
          </w:tblCellMar>
        </w:tblPrEx>
        <w:trPr>
          <w:trHeight w:val="337" w:hRule="atLeast"/>
          <w:jc w:val="center"/>
        </w:trPr>
        <w:tc>
          <w:tcPr>
            <w:tcW w:w="2695"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7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3923.06</w:t>
            </w:r>
          </w:p>
        </w:tc>
        <w:tc>
          <w:tcPr>
            <w:tcW w:w="2700" w:type="dxa"/>
            <w:gridSpan w:val="1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3926.06</w:t>
            </w:r>
          </w:p>
        </w:tc>
      </w:tr>
      <w:tr>
        <w:tblPrEx>
          <w:tblLayout w:type="fixed"/>
          <w:tblCellMar>
            <w:top w:w="0" w:type="dxa"/>
            <w:left w:w="0" w:type="dxa"/>
            <w:bottom w:w="0" w:type="dxa"/>
            <w:right w:w="0" w:type="dxa"/>
          </w:tblCellMar>
        </w:tblPrEx>
        <w:trPr>
          <w:trHeight w:val="417" w:hRule="atLeast"/>
          <w:jc w:val="center"/>
        </w:trPr>
        <w:tc>
          <w:tcPr>
            <w:tcW w:w="9300" w:type="dxa"/>
            <w:gridSpan w:val="35"/>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r>
        <w:tblPrEx>
          <w:tblLayout w:type="fixed"/>
          <w:tblCellMar>
            <w:top w:w="0" w:type="dxa"/>
            <w:left w:w="0" w:type="dxa"/>
            <w:bottom w:w="0" w:type="dxa"/>
            <w:right w:w="0" w:type="dxa"/>
          </w:tblCellMar>
        </w:tblPrEx>
        <w:trPr>
          <w:gridAfter w:val="2"/>
          <w:wAfter w:w="504" w:type="dxa"/>
          <w:trHeight w:val="454" w:hRule="exact"/>
          <w:jc w:val="center"/>
        </w:trPr>
        <w:tc>
          <w:tcPr>
            <w:tcW w:w="8796" w:type="dxa"/>
            <w:gridSpan w:val="33"/>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28"/>
                <w:szCs w:val="28"/>
              </w:rPr>
            </w:pPr>
            <w:r>
              <w:rPr>
                <w:rFonts w:hint="eastAsia" w:ascii="黑体" w:hAnsi="宋体" w:eastAsia="黑体" w:cs="黑体"/>
                <w:color w:val="000000"/>
                <w:kern w:val="0"/>
                <w:sz w:val="28"/>
                <w:szCs w:val="28"/>
              </w:rPr>
              <w:t>收入决</w:t>
            </w:r>
            <w:r>
              <w:rPr>
                <w:rFonts w:ascii="黑体" w:hAnsi="宋体" w:eastAsia="黑体" w:cs="黑体"/>
                <w:color w:val="000000"/>
                <w:kern w:val="0"/>
                <w:sz w:val="28"/>
                <w:szCs w:val="28"/>
              </w:rPr>
              <w:pict>
                <v:group id="_x0000_s1032" o:spid="_x0000_s1032" o:spt="203" style="position:absolute;left:0pt;margin-left:-145.6pt;margin-top:-108.75pt;height:41.2pt;width:243.2pt;mso-position-vertical-relative:page;z-index:251658240;mso-width-relative:page;mso-height-relative:page;" coordorigin="4551,52615" coordsize="8546,1398203203"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Bwnm4jcAAAADQEAAA8AAAAAAAAA&#10;AQAgAAAAIgAAAGRycy9kb3ducmV2LnhtbFBLAQIUABQAAAAIAIdO4kA+YalKKgMAAO4IAAAOAAAA&#10;AAAAAAEAIAAAACsBAABkcnMvZTJvRG9jLnhtbFBLBQYAAAAABgAGAFkBAADHBgAAAAA=&#10;">
                  <o:lock v:ext="edit"/>
                  <v:rect id="矩形 13" o:spid="_x0000_s1033" o:spt="1" style="position:absolute;left:4551;top:52615;height:1175;width:8546;v-text-anchor:middle;" fillcolor="#D9D9D9" filled="t" stroked="f" coordsize="21600,21600" o:gfxdata="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5L07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34" o:spt="1" style="position:absolute;left:4577;top:52890;height:1123;width:8324;v-text-anchor:middle;" fillcolor="#AD002D" filled="t" stroked="t" coordsize="21600,21600" o:gfxdata="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RkrsAAADb&#10;AAAADwAAAAAAAAABACAAAAAiAAAAZHJzL2Rvd25yZXYueG1sUEsBAhQAFAAAAAgAh07iQDMvBZ47&#10;AAAAOQAAABAAAAAAAAAAAQAgAAAACgEAAGRycy9zaGFwZXhtbC54bWxQSwUGAAAAAAYABgBbAQAA&#10;tAMAAAAA&#10;">
                    <v:path/>
                    <v:fill on="t" focussize="0,0"/>
                    <v:stroke weight="2pt" color="#B0761F" joinstyle="round"/>
                    <v:imagedata o:title=""/>
                    <o:lock v:ext="edit"/>
                    <v:textbox>
                      <w:txbxContent>
                        <w:p>
                          <w:pPr>
                            <w:jc w:val="center"/>
                          </w:pPr>
                        </w:p>
                      </w:txbxContent>
                    </v:textbox>
                  </v:rect>
                  <w10:anchorlock/>
                </v:group>
              </w:pict>
            </w:r>
            <w:r>
              <w:rPr>
                <w:rFonts w:hint="eastAsia" w:ascii="黑体" w:hAnsi="宋体" w:eastAsia="黑体" w:cs="黑体"/>
                <w:color w:val="000000"/>
                <w:kern w:val="0"/>
                <w:sz w:val="28"/>
                <w:szCs w:val="28"/>
              </w:rPr>
              <w:t>算表</w:t>
            </w:r>
          </w:p>
        </w:tc>
      </w:tr>
      <w:tr>
        <w:tblPrEx>
          <w:tblLayout w:type="fixed"/>
          <w:tblCellMar>
            <w:top w:w="0" w:type="dxa"/>
            <w:left w:w="0" w:type="dxa"/>
            <w:bottom w:w="0" w:type="dxa"/>
            <w:right w:w="0" w:type="dxa"/>
          </w:tblCellMar>
        </w:tblPrEx>
        <w:trPr>
          <w:gridAfter w:val="2"/>
          <w:wAfter w:w="504" w:type="dxa"/>
          <w:trHeight w:val="454" w:hRule="exact"/>
          <w:jc w:val="center"/>
        </w:trPr>
        <w:tc>
          <w:tcPr>
            <w:tcW w:w="33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1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公开02表</w:t>
            </w:r>
          </w:p>
        </w:tc>
      </w:tr>
      <w:tr>
        <w:tblPrEx>
          <w:tblLayout w:type="fixed"/>
          <w:tblCellMar>
            <w:top w:w="0" w:type="dxa"/>
            <w:left w:w="0" w:type="dxa"/>
            <w:bottom w:w="0" w:type="dxa"/>
            <w:right w:w="0" w:type="dxa"/>
          </w:tblCellMar>
        </w:tblPrEx>
        <w:trPr>
          <w:gridAfter w:val="2"/>
          <w:wAfter w:w="504" w:type="dxa"/>
          <w:trHeight w:val="454" w:hRule="exact"/>
          <w:jc w:val="center"/>
        </w:trPr>
        <w:tc>
          <w:tcPr>
            <w:tcW w:w="2880"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部门：</w:t>
            </w:r>
            <w:r>
              <w:rPr>
                <w:rFonts w:hint="eastAsia" w:ascii="宋体" w:hAnsi="宋体" w:cs="宋体"/>
                <w:color w:val="000000"/>
                <w:sz w:val="15"/>
                <w:szCs w:val="15"/>
              </w:rPr>
              <w:t>香河县国土资源局</w:t>
            </w:r>
          </w:p>
        </w:tc>
        <w:tc>
          <w:tcPr>
            <w:tcW w:w="26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金额单位：万元</w:t>
            </w:r>
          </w:p>
        </w:tc>
      </w:tr>
      <w:tr>
        <w:tblPrEx>
          <w:tblLayout w:type="fixed"/>
          <w:tblCellMar>
            <w:top w:w="0" w:type="dxa"/>
            <w:left w:w="0" w:type="dxa"/>
            <w:bottom w:w="0" w:type="dxa"/>
            <w:right w:w="0" w:type="dxa"/>
          </w:tblCellMar>
        </w:tblPrEx>
        <w:trPr>
          <w:gridAfter w:val="2"/>
          <w:wAfter w:w="504" w:type="dxa"/>
          <w:trHeight w:val="454" w:hRule="exact"/>
          <w:jc w:val="center"/>
        </w:trPr>
        <w:tc>
          <w:tcPr>
            <w:tcW w:w="2347" w:type="dxa"/>
            <w:gridSpan w:val="7"/>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项目</w:t>
            </w:r>
          </w:p>
        </w:tc>
        <w:tc>
          <w:tcPr>
            <w:tcW w:w="920" w:type="dxa"/>
            <w:gridSpan w:val="5"/>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本年收入合计</w:t>
            </w:r>
          </w:p>
        </w:tc>
        <w:tc>
          <w:tcPr>
            <w:tcW w:w="920"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财政拨款收入</w:t>
            </w:r>
          </w:p>
        </w:tc>
        <w:tc>
          <w:tcPr>
            <w:tcW w:w="921" w:type="dxa"/>
            <w:gridSpan w:val="5"/>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上级补助收入</w:t>
            </w:r>
          </w:p>
        </w:tc>
        <w:tc>
          <w:tcPr>
            <w:tcW w:w="920" w:type="dxa"/>
            <w:gridSpan w:val="4"/>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事业收入</w:t>
            </w:r>
          </w:p>
        </w:tc>
        <w:tc>
          <w:tcPr>
            <w:tcW w:w="921" w:type="dxa"/>
            <w:gridSpan w:val="4"/>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经营收入</w:t>
            </w:r>
          </w:p>
        </w:tc>
        <w:tc>
          <w:tcPr>
            <w:tcW w:w="921"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附属单位上缴收入</w:t>
            </w:r>
          </w:p>
        </w:tc>
        <w:tc>
          <w:tcPr>
            <w:tcW w:w="926" w:type="dxa"/>
            <w:gridSpan w:val="2"/>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其他收入</w:t>
            </w:r>
          </w:p>
        </w:tc>
      </w:tr>
      <w:tr>
        <w:tblPrEx>
          <w:tblLayout w:type="fixed"/>
          <w:tblCellMar>
            <w:top w:w="0" w:type="dxa"/>
            <w:left w:w="0" w:type="dxa"/>
            <w:bottom w:w="0" w:type="dxa"/>
            <w:right w:w="0" w:type="dxa"/>
          </w:tblCellMar>
        </w:tblPrEx>
        <w:trPr>
          <w:gridAfter w:val="2"/>
          <w:wAfter w:w="504" w:type="dxa"/>
          <w:trHeight w:val="454"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功能分类科目编码</w:t>
            </w:r>
          </w:p>
        </w:tc>
        <w:tc>
          <w:tcPr>
            <w:tcW w:w="1317" w:type="dxa"/>
            <w:gridSpan w:val="2"/>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科目名称</w:t>
            </w:r>
          </w:p>
        </w:tc>
        <w:tc>
          <w:tcPr>
            <w:tcW w:w="920" w:type="dxa"/>
            <w:gridSpan w:val="5"/>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p>
        </w:tc>
        <w:tc>
          <w:tcPr>
            <w:tcW w:w="921" w:type="dxa"/>
            <w:gridSpan w:val="5"/>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p>
        </w:tc>
        <w:tc>
          <w:tcPr>
            <w:tcW w:w="920" w:type="dxa"/>
            <w:gridSpan w:val="4"/>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p>
        </w:tc>
        <w:tc>
          <w:tcPr>
            <w:tcW w:w="921" w:type="dxa"/>
            <w:gridSpan w:val="4"/>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p>
        </w:tc>
        <w:tc>
          <w:tcPr>
            <w:tcW w:w="921"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p>
        </w:tc>
        <w:tc>
          <w:tcPr>
            <w:tcW w:w="926" w:type="dxa"/>
            <w:gridSpan w:val="2"/>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p>
        </w:tc>
      </w:tr>
      <w:tr>
        <w:tblPrEx>
          <w:tblLayout w:type="fixed"/>
          <w:tblCellMar>
            <w:top w:w="0" w:type="dxa"/>
            <w:left w:w="0" w:type="dxa"/>
            <w:bottom w:w="0" w:type="dxa"/>
            <w:right w:w="0" w:type="dxa"/>
          </w:tblCellMar>
        </w:tblPrEx>
        <w:trPr>
          <w:gridAfter w:val="2"/>
          <w:wAfter w:w="504" w:type="dxa"/>
          <w:trHeight w:val="308" w:hRule="exact"/>
          <w:jc w:val="center"/>
        </w:trPr>
        <w:tc>
          <w:tcPr>
            <w:tcW w:w="2347"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栏次</w:t>
            </w:r>
          </w:p>
        </w:tc>
        <w:tc>
          <w:tcPr>
            <w:tcW w:w="9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w:t>
            </w:r>
          </w:p>
        </w:tc>
        <w:tc>
          <w:tcPr>
            <w:tcW w:w="9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3</w:t>
            </w:r>
          </w:p>
        </w:tc>
        <w:tc>
          <w:tcPr>
            <w:tcW w:w="9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4</w:t>
            </w:r>
          </w:p>
        </w:tc>
        <w:tc>
          <w:tcPr>
            <w:tcW w:w="92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5</w:t>
            </w:r>
          </w:p>
        </w:tc>
        <w:tc>
          <w:tcPr>
            <w:tcW w:w="92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6</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3"/>
                <w:szCs w:val="13"/>
              </w:rPr>
            </w:pPr>
            <w:r>
              <w:rPr>
                <w:rFonts w:hint="eastAsia" w:ascii="宋体" w:hAnsi="宋体" w:cs="宋体"/>
                <w:color w:val="000000"/>
                <w:kern w:val="0"/>
                <w:sz w:val="13"/>
                <w:szCs w:val="13"/>
              </w:rPr>
              <w:t>7</w:t>
            </w:r>
          </w:p>
        </w:tc>
      </w:tr>
      <w:tr>
        <w:tblPrEx>
          <w:tblLayout w:type="fixed"/>
          <w:tblCellMar>
            <w:top w:w="0" w:type="dxa"/>
            <w:left w:w="0" w:type="dxa"/>
            <w:bottom w:w="0" w:type="dxa"/>
            <w:right w:w="0" w:type="dxa"/>
          </w:tblCellMar>
        </w:tblPrEx>
        <w:trPr>
          <w:gridAfter w:val="2"/>
          <w:wAfter w:w="504" w:type="dxa"/>
          <w:trHeight w:val="272" w:hRule="exact"/>
          <w:jc w:val="center"/>
        </w:trPr>
        <w:tc>
          <w:tcPr>
            <w:tcW w:w="2347"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合计</w:t>
            </w:r>
          </w:p>
        </w:tc>
        <w:tc>
          <w:tcPr>
            <w:tcW w:w="920"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3683.35</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3683.35</w:t>
            </w:r>
          </w:p>
        </w:tc>
        <w:tc>
          <w:tcPr>
            <w:tcW w:w="92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3"/>
                <w:szCs w:val="13"/>
              </w:rPr>
            </w:pPr>
          </w:p>
        </w:tc>
        <w:tc>
          <w:tcPr>
            <w:tcW w:w="920"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3"/>
                <w:szCs w:val="13"/>
              </w:rPr>
            </w:pPr>
          </w:p>
        </w:tc>
        <w:tc>
          <w:tcPr>
            <w:tcW w:w="921"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3"/>
                <w:szCs w:val="13"/>
              </w:rPr>
            </w:pPr>
          </w:p>
        </w:tc>
        <w:tc>
          <w:tcPr>
            <w:tcW w:w="92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3"/>
                <w:szCs w:val="13"/>
              </w:rPr>
            </w:pPr>
          </w:p>
        </w:tc>
        <w:tc>
          <w:tcPr>
            <w:tcW w:w="926"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208</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社会保障和就业支出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305.77</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305.77</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20805</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行政事业单位离退休</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305.77</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305.77</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2080505</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机关事业单位基本养老保险缴费支出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113.93</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113.93</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2080599</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其他行政事业单位离退休支出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191.85</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191.85</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210</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医疗卫生与计划生育支出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44.72</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44.72</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21011</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行政事业单位医疗</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44.72</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44.72</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2101102</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事业单位医疗</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44.72</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44.72</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212</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城乡社区支出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1,301.26</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1,301.26</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21208</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国有土地使用权出让收入及对应专项债务收入安排的支出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1,301.26</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1,301.26</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2120806</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土地出让业务支出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1,301.26</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1,301.26</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国土海洋气象等支出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1,956.32</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1,956.32</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22001</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国土资源事务</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1,950.11</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1,950.11</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2200101</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行政运行</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1,293.59</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1,293.59</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2200104</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国土资源规划及管理</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322.20</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322.20</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2200105</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土地资源调查</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34.56</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34.56</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2200106</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土地资源利用与保护</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183.76</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183.76</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298"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2200108</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textAlignment w:val="center"/>
              <w:rPr>
                <w:rFonts w:ascii="宋体" w:hAnsi="宋体" w:cs="宋体"/>
                <w:color w:val="000000"/>
                <w:kern w:val="0"/>
                <w:sz w:val="13"/>
                <w:szCs w:val="13"/>
              </w:rPr>
            </w:pPr>
            <w:r>
              <w:rPr>
                <w:rFonts w:hint="eastAsia" w:ascii="宋体" w:hAnsi="宋体" w:cs="宋体"/>
                <w:color w:val="000000"/>
                <w:kern w:val="0"/>
                <w:sz w:val="13"/>
                <w:szCs w:val="13"/>
              </w:rPr>
              <w:t>国土资源行业业务管理</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116.00</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116.00</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22002</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海洋管理事务</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6.21</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6.21</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2200299</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其他海洋管理事务支出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6.21</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6.21</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221</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住房保障支出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75.28</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75.28</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22102</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住房改革支出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75.28</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75.28</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2210201</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住房公积金</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75.28</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75.28</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208</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社会保障和就业支出</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305.77</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305.77</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397" w:hRule="exact"/>
          <w:jc w:val="center"/>
        </w:trPr>
        <w:tc>
          <w:tcPr>
            <w:tcW w:w="103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20805</w:t>
            </w:r>
          </w:p>
        </w:tc>
        <w:tc>
          <w:tcPr>
            <w:tcW w:w="13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行政事业单位离退休</w:t>
            </w:r>
          </w:p>
        </w:tc>
        <w:tc>
          <w:tcPr>
            <w:tcW w:w="92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305.77</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305.77</w:t>
            </w:r>
          </w:p>
        </w:tc>
        <w:tc>
          <w:tcPr>
            <w:tcW w:w="92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0"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3"/>
                <w:szCs w:val="13"/>
              </w:rPr>
            </w:pPr>
          </w:p>
        </w:tc>
      </w:tr>
      <w:tr>
        <w:tblPrEx>
          <w:tblLayout w:type="fixed"/>
          <w:tblCellMar>
            <w:top w:w="0" w:type="dxa"/>
            <w:left w:w="0" w:type="dxa"/>
            <w:bottom w:w="0" w:type="dxa"/>
            <w:right w:w="0" w:type="dxa"/>
          </w:tblCellMar>
        </w:tblPrEx>
        <w:trPr>
          <w:gridAfter w:val="2"/>
          <w:wAfter w:w="504" w:type="dxa"/>
          <w:trHeight w:val="454" w:hRule="exact"/>
          <w:jc w:val="center"/>
        </w:trPr>
        <w:tc>
          <w:tcPr>
            <w:tcW w:w="8796" w:type="dxa"/>
            <w:gridSpan w:val="3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注：本表反映部门本年度取得的各项收入情况。</w:t>
            </w:r>
          </w:p>
        </w:tc>
      </w:tr>
      <w:tr>
        <w:tblPrEx>
          <w:tblLayout w:type="fixed"/>
          <w:tblCellMar>
            <w:top w:w="0" w:type="dxa"/>
            <w:left w:w="0" w:type="dxa"/>
            <w:bottom w:w="0" w:type="dxa"/>
            <w:right w:w="0" w:type="dxa"/>
          </w:tblCellMar>
        </w:tblPrEx>
        <w:trPr>
          <w:gridAfter w:val="1"/>
          <w:wAfter w:w="305" w:type="dxa"/>
          <w:trHeight w:val="397" w:hRule="exact"/>
          <w:jc w:val="center"/>
        </w:trPr>
        <w:tc>
          <w:tcPr>
            <w:tcW w:w="8995" w:type="dxa"/>
            <w:gridSpan w:val="3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24"/>
              </w:rPr>
            </w:pPr>
            <w:r>
              <w:rPr>
                <w:rFonts w:hint="eastAsia" w:ascii="黑体" w:hAnsi="宋体" w:eastAsia="黑体" w:cs="黑体"/>
                <w:color w:val="000000"/>
                <w:kern w:val="0"/>
                <w:sz w:val="24"/>
              </w:rPr>
              <w:t>支出决算</w:t>
            </w:r>
            <w:r>
              <w:rPr>
                <w:sz w:val="24"/>
              </w:rPr>
              <w:pict>
                <v:group id="_x0000_s1035" o:spid="_x0000_s1035" o:spt="203" style="position:absolute;left:0pt;margin-left:-74.9pt;margin-top:-111.75pt;height:41.2pt;width:243.2pt;mso-position-vertical-relative:page;z-index:251660288;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cmlLK3AAAAA0BAAAPAAAAAAAAAAEA&#10;IAAAACIAAABkcnMvZG93bnJldi54bWxQSwECFAAUAAAACACHTuJATKGUYCgDAADuCAAADgAAAAAA&#10;AAABACAAAAArAQAAZHJzL2Uyb0RvYy54bWxQSwUGAAAAAAYABgBZAQAAxQYAAAAA&#10;">
                  <o:lock v:ext="edit"/>
                  <v:rect id="矩形 13" o:spid="_x0000_s1036" o:spt="1" style="position:absolute;left:4551;top:52615;height:1175;width:8546;v-text-anchor:middle;" fillcolor="#D9D9D9" filled="t" stroked="f" coordsize="21600,21600" o:gfxdata="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NB1r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37" o:spt="1" style="position:absolute;left:4577;top:52890;height:1123;width:8324;v-text-anchor:middle;" fillcolor="#AD002D" filled="t" stroked="t" coordsize="21600,21600" o:gfxdata="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W3wC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24"/>
              </w:rPr>
              <w:t>表</w:t>
            </w:r>
          </w:p>
        </w:tc>
      </w:tr>
      <w:tr>
        <w:tblPrEx>
          <w:tblLayout w:type="fixed"/>
          <w:tblCellMar>
            <w:top w:w="0" w:type="dxa"/>
            <w:left w:w="0" w:type="dxa"/>
            <w:bottom w:w="0" w:type="dxa"/>
            <w:right w:w="0" w:type="dxa"/>
          </w:tblCellMar>
        </w:tblPrEx>
        <w:trPr>
          <w:gridAfter w:val="1"/>
          <w:wAfter w:w="305" w:type="dxa"/>
          <w:trHeight w:val="397" w:hRule="exact"/>
          <w:jc w:val="center"/>
        </w:trPr>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02"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6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公开03表</w:t>
            </w:r>
          </w:p>
        </w:tc>
      </w:tr>
      <w:tr>
        <w:tblPrEx>
          <w:tblLayout w:type="fixed"/>
          <w:tblCellMar>
            <w:top w:w="0" w:type="dxa"/>
            <w:left w:w="0" w:type="dxa"/>
            <w:bottom w:w="0" w:type="dxa"/>
            <w:right w:w="0" w:type="dxa"/>
          </w:tblCellMar>
        </w:tblPrEx>
        <w:trPr>
          <w:gridAfter w:val="1"/>
          <w:wAfter w:w="305" w:type="dxa"/>
          <w:trHeight w:val="397" w:hRule="exact"/>
          <w:jc w:val="center"/>
        </w:trPr>
        <w:tc>
          <w:tcPr>
            <w:tcW w:w="3141"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部门：</w:t>
            </w:r>
            <w:r>
              <w:rPr>
                <w:rFonts w:hint="eastAsia" w:ascii="宋体" w:hAnsi="宋体" w:cs="宋体"/>
                <w:color w:val="000000"/>
                <w:sz w:val="15"/>
                <w:szCs w:val="15"/>
              </w:rPr>
              <w:t>香河县国土资源局</w:t>
            </w: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120"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11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2498"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金额单位：万元</w:t>
            </w:r>
          </w:p>
        </w:tc>
      </w:tr>
      <w:tr>
        <w:tblPrEx>
          <w:tblLayout w:type="fixed"/>
          <w:tblCellMar>
            <w:top w:w="0" w:type="dxa"/>
            <w:left w:w="0" w:type="dxa"/>
            <w:bottom w:w="0" w:type="dxa"/>
            <w:right w:w="0" w:type="dxa"/>
          </w:tblCellMar>
        </w:tblPrEx>
        <w:trPr>
          <w:gridAfter w:val="1"/>
          <w:wAfter w:w="305" w:type="dxa"/>
          <w:trHeight w:val="397" w:hRule="exact"/>
          <w:jc w:val="center"/>
        </w:trPr>
        <w:tc>
          <w:tcPr>
            <w:tcW w:w="278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w:t>
            </w:r>
          </w:p>
        </w:tc>
        <w:tc>
          <w:tcPr>
            <w:tcW w:w="797" w:type="dxa"/>
            <w:gridSpan w:val="4"/>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本年支出合计</w:t>
            </w:r>
          </w:p>
        </w:tc>
        <w:tc>
          <w:tcPr>
            <w:tcW w:w="1084" w:type="dxa"/>
            <w:gridSpan w:val="5"/>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基本支出</w:t>
            </w:r>
          </w:p>
        </w:tc>
        <w:tc>
          <w:tcPr>
            <w:tcW w:w="1083" w:type="dxa"/>
            <w:gridSpan w:val="5"/>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项目支出</w:t>
            </w:r>
          </w:p>
        </w:tc>
        <w:tc>
          <w:tcPr>
            <w:tcW w:w="1084" w:type="dxa"/>
            <w:gridSpan w:val="4"/>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上缴上级支出</w:t>
            </w:r>
          </w:p>
        </w:tc>
        <w:tc>
          <w:tcPr>
            <w:tcW w:w="1083" w:type="dxa"/>
            <w:gridSpan w:val="5"/>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经营支出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对附属单位补助支出</w:t>
            </w: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Arial"/>
                <w:color w:val="000000"/>
                <w:kern w:val="0"/>
                <w:sz w:val="15"/>
                <w:szCs w:val="15"/>
              </w:rPr>
            </w:pPr>
            <w:r>
              <w:rPr>
                <w:rFonts w:hint="eastAsia" w:ascii="宋体" w:hAnsi="宋体" w:cs="Arial"/>
                <w:color w:val="000000"/>
                <w:kern w:val="0"/>
                <w:sz w:val="15"/>
                <w:szCs w:val="15"/>
              </w:rPr>
              <w:t>功能分类科目编码</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Arial"/>
                <w:color w:val="000000"/>
                <w:kern w:val="0"/>
                <w:sz w:val="15"/>
                <w:szCs w:val="15"/>
              </w:rPr>
            </w:pPr>
            <w:r>
              <w:rPr>
                <w:rFonts w:hint="eastAsia" w:ascii="宋体" w:hAnsi="宋体" w:cs="Arial"/>
                <w:color w:val="000000"/>
                <w:kern w:val="0"/>
                <w:sz w:val="15"/>
                <w:szCs w:val="15"/>
              </w:rPr>
              <w:t>科目名称</w:t>
            </w:r>
          </w:p>
        </w:tc>
        <w:tc>
          <w:tcPr>
            <w:tcW w:w="797" w:type="dxa"/>
            <w:gridSpan w:val="4"/>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Arial"/>
                <w:color w:val="000000"/>
                <w:kern w:val="0"/>
                <w:sz w:val="15"/>
                <w:szCs w:val="15"/>
              </w:rPr>
            </w:pPr>
          </w:p>
        </w:tc>
        <w:tc>
          <w:tcPr>
            <w:tcW w:w="1084" w:type="dxa"/>
            <w:gridSpan w:val="5"/>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Arial"/>
                <w:color w:val="000000"/>
                <w:kern w:val="0"/>
                <w:sz w:val="15"/>
                <w:szCs w:val="15"/>
              </w:rPr>
            </w:pPr>
          </w:p>
        </w:tc>
        <w:tc>
          <w:tcPr>
            <w:tcW w:w="1083" w:type="dxa"/>
            <w:gridSpan w:val="5"/>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Arial"/>
                <w:color w:val="000000"/>
                <w:kern w:val="0"/>
                <w:sz w:val="15"/>
                <w:szCs w:val="15"/>
              </w:rPr>
            </w:pPr>
          </w:p>
        </w:tc>
        <w:tc>
          <w:tcPr>
            <w:tcW w:w="1084" w:type="dxa"/>
            <w:gridSpan w:val="4"/>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083" w:type="dxa"/>
            <w:gridSpan w:val="5"/>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2780"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Arial"/>
                <w:color w:val="000000"/>
                <w:kern w:val="0"/>
                <w:sz w:val="15"/>
                <w:szCs w:val="15"/>
              </w:rPr>
            </w:pPr>
            <w:r>
              <w:rPr>
                <w:rFonts w:hint="eastAsia" w:ascii="宋体" w:hAnsi="宋体" w:cs="Arial"/>
                <w:color w:val="000000"/>
                <w:kern w:val="0"/>
                <w:sz w:val="15"/>
                <w:szCs w:val="15"/>
              </w:rPr>
              <w:t>栏次</w:t>
            </w:r>
          </w:p>
        </w:tc>
        <w:tc>
          <w:tcPr>
            <w:tcW w:w="79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Arial"/>
                <w:color w:val="000000"/>
                <w:kern w:val="0"/>
                <w:sz w:val="15"/>
                <w:szCs w:val="15"/>
              </w:rPr>
            </w:pPr>
            <w:r>
              <w:rPr>
                <w:rFonts w:hint="eastAsia" w:ascii="宋体" w:hAnsi="宋体" w:cs="Arial"/>
                <w:color w:val="000000"/>
                <w:kern w:val="0"/>
                <w:sz w:val="15"/>
                <w:szCs w:val="15"/>
              </w:rPr>
              <w:t>1</w:t>
            </w:r>
          </w:p>
        </w:tc>
        <w:tc>
          <w:tcPr>
            <w:tcW w:w="10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Arial"/>
                <w:color w:val="000000"/>
                <w:kern w:val="0"/>
                <w:sz w:val="15"/>
                <w:szCs w:val="15"/>
              </w:rPr>
            </w:pPr>
            <w:r>
              <w:rPr>
                <w:rFonts w:hint="eastAsia" w:ascii="宋体" w:hAnsi="宋体" w:cs="Arial"/>
                <w:color w:val="000000"/>
                <w:kern w:val="0"/>
                <w:sz w:val="15"/>
                <w:szCs w:val="15"/>
              </w:rPr>
              <w:t>2</w:t>
            </w:r>
          </w:p>
        </w:tc>
        <w:tc>
          <w:tcPr>
            <w:tcW w:w="1083"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Arial"/>
                <w:color w:val="000000"/>
                <w:kern w:val="0"/>
                <w:sz w:val="15"/>
                <w:szCs w:val="15"/>
              </w:rPr>
            </w:pPr>
            <w:r>
              <w:rPr>
                <w:rFonts w:hint="eastAsia" w:ascii="宋体" w:hAnsi="宋体" w:cs="Arial"/>
                <w:color w:val="000000"/>
                <w:kern w:val="0"/>
                <w:sz w:val="15"/>
                <w:szCs w:val="15"/>
              </w:rPr>
              <w:t>3</w:t>
            </w:r>
          </w:p>
        </w:tc>
        <w:tc>
          <w:tcPr>
            <w:tcW w:w="108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w:t>
            </w:r>
          </w:p>
        </w:tc>
        <w:tc>
          <w:tcPr>
            <w:tcW w:w="1083"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6</w:t>
            </w:r>
          </w:p>
        </w:tc>
      </w:tr>
      <w:tr>
        <w:tblPrEx>
          <w:tblLayout w:type="fixed"/>
          <w:tblCellMar>
            <w:top w:w="0" w:type="dxa"/>
            <w:left w:w="0" w:type="dxa"/>
            <w:bottom w:w="0" w:type="dxa"/>
            <w:right w:w="0" w:type="dxa"/>
          </w:tblCellMar>
        </w:tblPrEx>
        <w:trPr>
          <w:gridAfter w:val="1"/>
          <w:wAfter w:w="305" w:type="dxa"/>
          <w:trHeight w:val="397" w:hRule="exact"/>
          <w:jc w:val="center"/>
        </w:trPr>
        <w:tc>
          <w:tcPr>
            <w:tcW w:w="2780"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kern w:val="0"/>
                <w:szCs w:val="21"/>
              </w:rPr>
            </w:pPr>
            <w:r>
              <w:rPr>
                <w:rFonts w:hint="eastAsia" w:ascii="宋体" w:hAnsi="宋体" w:cs="Arial"/>
                <w:color w:val="000000"/>
                <w:kern w:val="0"/>
                <w:sz w:val="15"/>
                <w:szCs w:val="15"/>
              </w:rPr>
              <w:t>合计</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4,069.47</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1936.55</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1945.1</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208</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社会保障和就业支出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305.77</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305.77</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20805</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行政事业单位离退休</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305.77</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305.77</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2080505</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机关事业单位基本养老保险缴费支出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113.93</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113.93</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2080599</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其他行政事业单位离退休支出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191.85</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191.85</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210</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医疗卫生与计划生育支出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44.72</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44.72</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21011</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行政事业单位医疗</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44.72</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44.72</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2101102</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事业单位医疗</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44.72</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44.72</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212</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城乡社区支出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1,513.10</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230.74</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1282.37</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21208</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国有土地使用权出让收入及对应专项债务收入安排的支出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1,513.10</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230.74</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1282.37</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2120806</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土地出让业务支出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1,513.10</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230.74</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1282.37</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国土海洋气象等支出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1,942.77</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1280.04</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662.73</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22001</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国土资源事务</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1,936.56</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1280.04</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656.52</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2200101</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行政运行</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1,280.04</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1280.04</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2200104</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国土资源规划及管理</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322.20</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322.2</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2200105</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土地资源调查</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34.56</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34.56</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2200106</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土地资源利用与保护</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183.76</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183.76</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2200108</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国土资源行业业务管理</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116.00</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116.00</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22002</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海洋管理事务</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6.21</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6.21</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2200299</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其他海洋管理事务支出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6.21</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6.21</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221</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住房保障支出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75.28</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75.28</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22102</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住房改革支出</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75.28</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75.28</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137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2210201</w:t>
            </w:r>
          </w:p>
        </w:tc>
        <w:tc>
          <w:tcPr>
            <w:tcW w:w="140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3"/>
                <w:szCs w:val="13"/>
              </w:rPr>
            </w:pPr>
            <w:r>
              <w:rPr>
                <w:rFonts w:hint="eastAsia" w:ascii="宋体" w:hAnsi="宋体" w:cs="宋体"/>
                <w:color w:val="000000"/>
                <w:kern w:val="0"/>
                <w:sz w:val="13"/>
                <w:szCs w:val="13"/>
              </w:rPr>
              <w:t>住房公积金</w:t>
            </w:r>
          </w:p>
        </w:tc>
        <w:tc>
          <w:tcPr>
            <w:tcW w:w="79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75.28</w:t>
            </w:r>
          </w:p>
        </w:tc>
        <w:tc>
          <w:tcPr>
            <w:tcW w:w="108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75.28</w:t>
            </w: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3"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Arial"/>
                <w:color w:val="000000"/>
                <w:kern w:val="0"/>
                <w:sz w:val="20"/>
                <w:szCs w:val="20"/>
              </w:rPr>
            </w:pPr>
          </w:p>
        </w:tc>
      </w:tr>
      <w:tr>
        <w:tblPrEx>
          <w:tblLayout w:type="fixed"/>
          <w:tblCellMar>
            <w:top w:w="0" w:type="dxa"/>
            <w:left w:w="0" w:type="dxa"/>
            <w:bottom w:w="0" w:type="dxa"/>
            <w:right w:w="0" w:type="dxa"/>
          </w:tblCellMar>
        </w:tblPrEx>
        <w:trPr>
          <w:gridAfter w:val="1"/>
          <w:wAfter w:w="305" w:type="dxa"/>
          <w:trHeight w:val="397" w:hRule="exact"/>
          <w:jc w:val="center"/>
        </w:trPr>
        <w:tc>
          <w:tcPr>
            <w:tcW w:w="8995" w:type="dxa"/>
            <w:gridSpan w:val="3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Cs w:val="21"/>
              </w:rPr>
            </w:pPr>
            <w:r>
              <w:rPr>
                <w:rFonts w:hint="eastAsia" w:ascii="宋体" w:hAnsi="宋体" w:cs="宋体"/>
                <w:color w:val="000000"/>
                <w:kern w:val="0"/>
                <w:sz w:val="13"/>
                <w:szCs w:val="13"/>
              </w:rPr>
              <w:t>注：本表反映部门本年度各项支出情况。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sz w:val="20"/>
                <w:szCs w:val="20"/>
              </w:rPr>
              <w:t>香河县国土资源局</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2382.09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1301.26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305.77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305.77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44.72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44.72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1513.1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1513.1</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1942.77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1942.77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75.28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75.28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3683.35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3881.64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2368.54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1513.1</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242.716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44.41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22.82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21.59</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9.276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233.44　</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3926.06</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3926.06　</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2391.36　</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1534.7</w:t>
            </w: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pPr w:leftFromText="180" w:rightFromText="180" w:horzAnchor="margin" w:tblpY="-945"/>
        <w:tblW w:w="8860" w:type="dxa"/>
        <w:tblInd w:w="0" w:type="dxa"/>
        <w:tblLayout w:type="fixed"/>
        <w:tblCellMar>
          <w:top w:w="0" w:type="dxa"/>
          <w:left w:w="0" w:type="dxa"/>
          <w:bottom w:w="0" w:type="dxa"/>
          <w:right w:w="0" w:type="dxa"/>
        </w:tblCellMar>
      </w:tblPr>
      <w:tblGrid>
        <w:gridCol w:w="317"/>
        <w:gridCol w:w="319"/>
        <w:gridCol w:w="357"/>
        <w:gridCol w:w="2109"/>
        <w:gridCol w:w="174"/>
        <w:gridCol w:w="571"/>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rPr>
                <w:sz w:val="44"/>
              </w:rPr>
              <w:pict>
                <v:group id="_x0000_s1092" o:spid="_x0000_s1092" o:spt="203" style="position:absolute;left:0pt;margin-left:-80.9pt;margin-top:-81.1pt;height:41.2pt;width:243.2pt;mso-position-vertical-relative:page;z-index:251662336;mso-width-relative:page;mso-height-relative:page;" coordorigin="4551,52615" coordsize="8546,1398203203"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JpSytwAAAANAQAADwAAAAAAAAABACAA&#10;AAAiAAAAZHJzL2Rvd25yZXYueG1sUEsBAhQAFAAAAAgAh07iQLS7gBcmAwAA7ggAAA4AAAAAAAAA&#10;AQAgAAAAKwEAAGRycy9lMm9Eb2MueG1sUEsFBgAAAAAGAAYAWQEAAMMGAAAAAA==&#10;">
                  <o:lock v:ext="edit"/>
                  <v:rect id="矩形 13" o:spid="_x0000_s1093" o:spt="1" style="position:absolute;left:4551;top:52615;height:1175;width:8546;v-text-anchor:middle;" fillcolor="#D9D9D9" filled="t" stroked="f" coordsize="21600,21600" o:gfxdata="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YDQr4A&#10;AADbAAAADwAAAAAAAAABACAAAAAiAAAAZHJzL2Rvd25yZXYueG1sUEsBAhQAFAAAAAgAh07iQDMv&#10;BZ47AAAAOQAAABAAAAAAAAAAAQAgAAAADQEAAGRycy9zaGFwZXhtbC54bWxQSwUGAAAAAAYABgBb&#10;AQAAtwMAAAAA&#10;">
                    <v:path/>
                    <v:fill on="t" focussize="0,0"/>
                    <v:stroke on="f" weight="2pt"/>
                    <v:imagedata o:title=""/>
                    <o:lock v:ext="edit"/>
                  </v:rect>
                  <v:rect id="矩形 14" o:spid="_x0000_s1094" o:spt="1" style="position:absolute;left:4577;top:52890;height:1123;width:8324;v-text-anchor:middle;" fillcolor="#AD002D" filled="t" stroked="t" coordsize="21600,21600" o:gfxdata="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g0wa5AAAA2wAA&#10;AA8AAAAAAAAAAQAgAAAAIgAAAGRycy9kb3ducmV2LnhtbFBLAQIUABQAAAAIAIdO4kAzLwWeOwAA&#10;ADkAAAAQAAAAAAAAAAEAIAAAAAgBAABkcnMvc2hhcGV4bWwueG1sUEsFBgAAAAAGAAYAWwEAALID&#10;AAAAAA==&#10;">
                    <v:path/>
                    <v:fill on="t" focussize="0,0"/>
                    <v:stroke weight="2pt" color="#B0761F" joinstyle="round"/>
                    <v:imagedata o:title=""/>
                    <o:lock v:ext="edit"/>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rPr>
                            <w:t>2018年度部门决算☞决算报表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trHeight w:val="334" w:hRule="atLeast"/>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sz w:val="20"/>
                <w:szCs w:val="20"/>
              </w:rPr>
              <w:t>香河县国土资源局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51" w:hRule="atLeast"/>
        </w:trPr>
        <w:tc>
          <w:tcPr>
            <w:tcW w:w="327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584"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283"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74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283"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7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283"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7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68" w:hRule="atLeast"/>
        </w:trPr>
        <w:tc>
          <w:tcPr>
            <w:tcW w:w="327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0" w:type="dxa"/>
            <w:left w:w="0" w:type="dxa"/>
            <w:bottom w:w="0" w:type="dxa"/>
            <w:right w:w="0" w:type="dxa"/>
          </w:tblCellMar>
        </w:tblPrEx>
        <w:trPr>
          <w:trHeight w:val="368" w:hRule="atLeast"/>
        </w:trPr>
        <w:tc>
          <w:tcPr>
            <w:tcW w:w="327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2,368.54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1,705.81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662.73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208</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社会保障和就业支出</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305.77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305.77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20805</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行政事业单位离退休</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305.77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305.77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2080505</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机关事业单位基本养老保险缴费支出</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113.93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113.93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2080599</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其他行政事业单位离退休支出</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191.85</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191.85</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210</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医疗卫生与计划生育支出</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44.72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44.72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21011</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行政事业单位医疗</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44.72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44.72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2101102</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事业单位医疗</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44.72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44.72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国土海洋气象等支出</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1,942.77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1,280.04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662.73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22001</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国土资源事务</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1,936.56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1,280.04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656.52</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2200101</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行政运行</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1,280.04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1,280.04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2200104</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国土资源规划及管理</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322.20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322.20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2200105</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土地资源调查</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34.56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34.56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2200106</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土地资源利用与保护</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183.76</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183.76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2200108</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国土资源行业业务管理</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116.00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116.00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22002</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海洋管理事务</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6.21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6.21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2200299</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其他海洋管理事务支出</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6.21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6.21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221</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住房保障支出</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75.28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75.28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22102</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住房改革支出</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75.28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75.28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2210201</w:t>
            </w:r>
          </w:p>
        </w:tc>
        <w:tc>
          <w:tcPr>
            <w:tcW w:w="22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 xml:space="preserve">  住房公积金</w:t>
            </w:r>
          </w:p>
        </w:tc>
        <w:tc>
          <w:tcPr>
            <w:tcW w:w="17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75.28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r>
              <w:rPr>
                <w:rFonts w:hint="eastAsia" w:ascii="宋体" w:hAnsi="宋体" w:cs="宋体"/>
                <w:color w:val="000000"/>
                <w:kern w:val="0"/>
                <w:szCs w:val="21"/>
              </w:rPr>
              <w:t>75.28</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368" w:hRule="atLeast"/>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pPr>
    </w:p>
    <w:tbl>
      <w:tblPr>
        <w:tblStyle w:val="12"/>
        <w:tblpPr w:leftFromText="180" w:rightFromText="180" w:vertAnchor="text" w:horzAnchor="margin" w:tblpY="-971"/>
        <w:tblW w:w="9180" w:type="dxa"/>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sz w:val="20"/>
                <w:szCs w:val="20"/>
              </w:rPr>
              <w:t>香河县国土资源局</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1378.24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110.05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409.71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24.93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482.38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5.38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244.7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6.91</w:t>
            </w: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6.91</w:t>
            </w:r>
          </w:p>
        </w:tc>
      </w:tr>
      <w:tr>
        <w:tblPrEx>
          <w:tblLayout w:type="fixed"/>
          <w:tblCellMar>
            <w:top w:w="0" w:type="dxa"/>
            <w:left w:w="0" w:type="dxa"/>
            <w:bottom w:w="0" w:type="dxa"/>
            <w:right w:w="0" w:type="dxa"/>
          </w:tblCellMar>
        </w:tblPrEx>
        <w:trPr>
          <w:trHeight w:val="425"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115.45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0.69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45.06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4.06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75.28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210.62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6"/>
                <w:szCs w:val="16"/>
              </w:rPr>
            </w:pPr>
            <w:r>
              <w:rPr>
                <w:rFonts w:hint="eastAsia" w:ascii="宋体" w:hAnsi="宋体" w:cs="宋体"/>
                <w:color w:val="000000"/>
                <w:kern w:val="0"/>
                <w:sz w:val="16"/>
                <w:szCs w:val="16"/>
              </w:rPr>
              <w:t>191.85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16.97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1.26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59.2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11.17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0"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0.54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2.89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17" w:hRule="atLeast"/>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1588.86</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116.96</w:t>
            </w:r>
          </w:p>
        </w:tc>
      </w:tr>
      <w:tr>
        <w:tblPrEx>
          <w:tblLayout w:type="fixed"/>
          <w:tblCellMar>
            <w:top w:w="0" w:type="dxa"/>
            <w:left w:w="0" w:type="dxa"/>
            <w:bottom w:w="0" w:type="dxa"/>
            <w:right w:w="0" w:type="dxa"/>
          </w:tblCellMar>
        </w:tblPrEx>
        <w:trPr>
          <w:trHeight w:val="277" w:hRule="atLeast"/>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pPr>
    </w:p>
    <w:p>
      <w:pPr>
        <w:widowControl/>
        <w:spacing w:after="0" w:line="560" w:lineRule="exact"/>
        <w:jc w:val="left"/>
        <w:rPr>
          <w:rFonts w:ascii="仿宋_GB2312" w:eastAsia="仿宋_GB2312" w:hAnsiTheme="majorEastAsia"/>
          <w:b/>
          <w:sz w:val="28"/>
          <w:szCs w:val="28"/>
          <w:highlight w:val="yellow"/>
        </w:rPr>
      </w:pPr>
    </w:p>
    <w:p>
      <w:pPr>
        <w:widowControl/>
        <w:spacing w:after="0" w:line="560" w:lineRule="exact"/>
        <w:jc w:val="left"/>
        <w:rPr>
          <w:rFonts w:ascii="仿宋_GB2312" w:eastAsia="仿宋_GB2312" w:hAnsiTheme="majorEastAsia"/>
          <w:b/>
          <w:sz w:val="28"/>
          <w:szCs w:val="28"/>
          <w:highlight w:val="yellow"/>
        </w:rPr>
      </w:pPr>
    </w:p>
    <w:tbl>
      <w:tblPr>
        <w:tblStyle w:val="12"/>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sz w:val="20"/>
                <w:szCs w:val="20"/>
              </w:rPr>
              <w:t>香河县国土资源局</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sz w:val="20"/>
                <w:szCs w:val="20"/>
              </w:rPr>
              <w:t>香河县国土资源局</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233.44</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1301.26</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1513.1</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230.74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1282.37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21.59</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212</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城乡社区支出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233.44</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1301.26</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1513.1</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230.74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1282.37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21.59</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21208</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国有土地使用权出让收入及对应专项债务收入安排的支出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233.44</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1301.26</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1513.1</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230.74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1282.37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21.59</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2120806</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土地出让业务费支出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233.44</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1301.26</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1513.1</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230.74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1282.37</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kern w:val="0"/>
                <w:szCs w:val="21"/>
              </w:rPr>
            </w:pPr>
            <w:r>
              <w:rPr>
                <w:rFonts w:hint="eastAsia" w:ascii="宋体" w:hAnsi="宋体" w:cs="宋体"/>
                <w:color w:val="000000"/>
                <w:kern w:val="0"/>
                <w:szCs w:val="21"/>
              </w:rPr>
              <w:t>21.59</w:t>
            </w: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600" w:lineRule="exact"/>
        <w:jc w:val="left"/>
        <w:rPr>
          <w:rFonts w:ascii="楷体" w:hAnsi="楷体" w:eastAsia="楷体" w:cs="楷体"/>
          <w:sz w:val="32"/>
          <w:szCs w:val="32"/>
          <w:highlight w:val="yellow"/>
        </w:rPr>
      </w:pPr>
      <w:r>
        <w:rPr>
          <w:rFonts w:hint="eastAsia" w:asciiTheme="minorEastAsia" w:hAnsiTheme="minorEastAsia" w:eastAsiaTheme="minorEastAsia" w:cstheme="minorEastAsia"/>
          <w:sz w:val="44"/>
          <w:szCs w:val="44"/>
        </w:rPr>
        <w:br w:type="page"/>
      </w:r>
    </w:p>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sz w:val="20"/>
                <w:szCs w:val="20"/>
              </w:rPr>
              <w:t>香河县国土资源局</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ascii="宋体" w:hAnsi="宋体" w:cs="宋体"/>
          <w:color w:val="000000"/>
          <w:kern w:val="0"/>
          <w:szCs w:val="21"/>
        </w:rPr>
        <w:t>注：本部门本年度无相关收入（或支出、收支及结转结余等）情况，按要求空表列示。</w:t>
      </w: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r>
              <w:rPr>
                <w:rFonts w:hint="eastAsia" w:ascii="宋体" w:hAnsi="宋体" w:cs="宋体"/>
                <w:color w:val="000000"/>
                <w:sz w:val="20"/>
                <w:szCs w:val="20"/>
              </w:rPr>
              <w:t>香河县国土资源局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549.76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549.76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549.76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60.00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489.76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489.76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489.76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504.5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504.5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504.5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59.2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445.3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445.3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Arial"/>
                <w:color w:val="000000"/>
                <w:kern w:val="0"/>
                <w:sz w:val="22"/>
                <w:szCs w:val="22"/>
              </w:rPr>
            </w:pPr>
            <w:r>
              <w:rPr>
                <w:rFonts w:hint="eastAsia" w:ascii="宋体" w:hAnsi="宋体" w:cs="Arial"/>
                <w:color w:val="000000"/>
                <w:kern w:val="0"/>
                <w:sz w:val="22"/>
                <w:szCs w:val="22"/>
              </w:rPr>
              <w:t>445.3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仿宋" w:hAnsi="仿宋" w:eastAsia="仿宋" w:cs="Times New Roman"/>
          <w:b w:val="0"/>
          <w:bCs w:val="0"/>
        </w:rPr>
      </w:pPr>
      <w:r>
        <w:rPr>
          <w:rFonts w:hint="eastAsia" w:ascii="仿宋" w:hAnsi="仿宋" w:eastAsia="仿宋" w:cs="Times New Roman"/>
          <w:b w:val="0"/>
          <w:bCs w:val="0"/>
        </w:rPr>
        <w:t>一、收入支出决算总体情况说明</w:t>
      </w:r>
    </w:p>
    <w:p>
      <w:pPr>
        <w:pStyle w:val="3"/>
        <w:spacing w:before="0" w:after="0" w:line="580" w:lineRule="exact"/>
        <w:ind w:firstLine="640" w:firstLineChars="200"/>
        <w:rPr>
          <w:rFonts w:ascii="仿宋" w:hAnsi="仿宋" w:eastAsia="仿宋" w:cs="Times New Roman"/>
          <w:b w:val="0"/>
          <w:bCs w:val="0"/>
        </w:rPr>
      </w:pPr>
      <w:r>
        <w:rPr>
          <w:rFonts w:hint="eastAsia" w:ascii="仿宋" w:hAnsi="仿宋" w:eastAsia="仿宋" w:cs="Times New Roman"/>
          <w:b w:val="0"/>
          <w:bCs w:val="0"/>
        </w:rPr>
        <w:t>本部门2018年度收支总计（含结转和结余）3926.06万元。与2017年度决算相比，收支各减少49851.09万元，下降93%，主要是项目支出减少。</w:t>
      </w:r>
    </w:p>
    <w:p>
      <w:pPr>
        <w:pStyle w:val="3"/>
        <w:spacing w:before="0" w:after="0" w:line="580" w:lineRule="exact"/>
        <w:ind w:firstLine="640" w:firstLineChars="200"/>
        <w:rPr>
          <w:rFonts w:ascii="仿宋" w:hAnsi="仿宋" w:eastAsia="仿宋" w:cs="Times New Roman"/>
          <w:b w:val="0"/>
          <w:bCs w:val="0"/>
        </w:rPr>
      </w:pPr>
      <w:r>
        <w:rPr>
          <w:rFonts w:hint="eastAsia" w:ascii="仿宋" w:hAnsi="仿宋" w:eastAsia="仿宋" w:cs="Times New Roman"/>
          <w:b w:val="0"/>
          <w:bCs w:val="0"/>
        </w:rPr>
        <w:t>二、收入决算情况说明</w:t>
      </w:r>
    </w:p>
    <w:p>
      <w:pPr>
        <w:pStyle w:val="3"/>
        <w:spacing w:before="0" w:after="0" w:line="580" w:lineRule="exact"/>
        <w:ind w:firstLine="640" w:firstLineChars="200"/>
        <w:rPr>
          <w:rFonts w:ascii="仿宋" w:hAnsi="仿宋" w:eastAsia="仿宋" w:cs="Times New Roman"/>
          <w:b w:val="0"/>
          <w:bCs w:val="0"/>
        </w:rPr>
      </w:pPr>
      <w:r>
        <w:rPr>
          <w:rFonts w:hint="eastAsia" w:ascii="仿宋" w:hAnsi="仿宋" w:eastAsia="仿宋" w:cs="Times New Roman"/>
          <w:b w:val="0"/>
          <w:bCs w:val="0"/>
        </w:rPr>
        <w:t>本部门2018年度本年收入合计3683.35万元，其中：财政拨款收入3683.35万元，占100%；事业收入0万元，占0%；经营收入0万元，占0%；其他收入0万元，占0%。</w:t>
      </w:r>
    </w:p>
    <w:p>
      <w:pPr>
        <w:pStyle w:val="3"/>
        <w:spacing w:before="0" w:after="0" w:line="580" w:lineRule="exact"/>
        <w:ind w:firstLine="640" w:firstLineChars="200"/>
        <w:rPr>
          <w:rFonts w:ascii="仿宋" w:hAnsi="仿宋" w:eastAsia="仿宋" w:cs="Times New Roman"/>
          <w:b w:val="0"/>
          <w:bCs w:val="0"/>
        </w:rPr>
      </w:pPr>
      <w:r>
        <w:rPr>
          <w:rFonts w:hint="eastAsia" w:ascii="仿宋" w:hAnsi="仿宋" w:eastAsia="仿宋" w:cs="Times New Roman"/>
          <w:b w:val="0"/>
          <w:bCs w:val="0"/>
        </w:rPr>
        <w:t>三、支出决算情况说明</w:t>
      </w:r>
    </w:p>
    <w:p>
      <w:pPr>
        <w:adjustRightInd w:val="0"/>
        <w:snapToGrid w:val="0"/>
        <w:spacing w:after="0" w:line="580" w:lineRule="exact"/>
        <w:ind w:firstLine="640" w:firstLineChars="200"/>
        <w:rPr>
          <w:rFonts w:ascii="仿宋" w:hAnsi="仿宋" w:eastAsia="仿宋"/>
          <w:sz w:val="32"/>
          <w:szCs w:val="32"/>
        </w:rPr>
      </w:pPr>
      <w:r>
        <w:rPr>
          <w:rFonts w:hint="eastAsia" w:ascii="仿宋" w:hAnsi="仿宋" w:eastAsia="仿宋"/>
          <w:sz w:val="32"/>
          <w:szCs w:val="32"/>
        </w:rPr>
        <w:t>本部门2018年度本年支出合计3881.64万元，其中：基本支出1936.55万元，占49%；项目支出1945.1万元，占51%；经营支出0万元，占0%。</w:t>
      </w:r>
    </w:p>
    <w:p>
      <w:pPr>
        <w:pStyle w:val="3"/>
        <w:spacing w:before="0" w:after="0" w:line="580" w:lineRule="exact"/>
        <w:ind w:firstLine="640" w:firstLineChars="200"/>
        <w:rPr>
          <w:rFonts w:ascii="仿宋" w:hAnsi="仿宋" w:eastAsia="仿宋" w:cs="Times New Roman"/>
          <w:b w:val="0"/>
          <w:bCs w:val="0"/>
        </w:rPr>
      </w:pPr>
      <w:r>
        <w:rPr>
          <w:rFonts w:hint="eastAsia" w:ascii="仿宋" w:hAnsi="仿宋" w:eastAsia="仿宋" w:cs="Times New Roman"/>
          <w:b w:val="0"/>
          <w:bCs w:val="0"/>
        </w:rPr>
        <w:t>四、财政拨款收入支出决算情况说明</w:t>
      </w:r>
    </w:p>
    <w:p>
      <w:pPr>
        <w:spacing w:after="0" w:line="580" w:lineRule="exact"/>
        <w:ind w:firstLine="640" w:firstLineChars="200"/>
        <w:rPr>
          <w:rFonts w:ascii="仿宋" w:hAnsi="仿宋" w:eastAsia="仿宋"/>
          <w:sz w:val="32"/>
          <w:szCs w:val="32"/>
        </w:rPr>
      </w:pPr>
      <w:r>
        <w:rPr>
          <w:rFonts w:hint="eastAsia" w:ascii="仿宋" w:hAnsi="仿宋" w:eastAsia="仿宋"/>
          <w:sz w:val="32"/>
          <w:szCs w:val="32"/>
        </w:rPr>
        <w:t>（一）财政拨款收支与2017 年度决算对比情况</w:t>
      </w:r>
    </w:p>
    <w:p>
      <w:pPr>
        <w:adjustRightInd w:val="0"/>
        <w:snapToGrid w:val="0"/>
        <w:spacing w:after="0" w:line="580" w:lineRule="exact"/>
        <w:ind w:firstLine="640" w:firstLineChars="200"/>
        <w:rPr>
          <w:rFonts w:ascii="仿宋" w:hAnsi="仿宋" w:eastAsia="仿宋"/>
          <w:sz w:val="32"/>
          <w:szCs w:val="32"/>
        </w:rPr>
      </w:pPr>
      <w:r>
        <w:rPr>
          <w:rFonts w:hint="eastAsia" w:ascii="仿宋" w:hAnsi="仿宋" w:eastAsia="仿宋"/>
          <w:sz w:val="32"/>
          <w:szCs w:val="32"/>
        </w:rPr>
        <w:t>本部门2018年度财政拨款本年收入3683.35万元,比2017年度减少49977.76万元，降低93%，主要是项目支出减少；本年支出3881.64万元，比2017年度减少49646.61万元，降低93%，主要是项目支出减少。</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sz w:val="32"/>
          <w:szCs w:val="32"/>
        </w:rPr>
        <w:t>其中：一般公共预算财政拨款本年收入2382.09万元，比2017年度增加470.54万元；主要是项目支出增加；增长24.6%本年支出2368.54万元，比2017年度增加472.45万元，增长24.9%，主要是项目支出增加。政府性基金预算财政拨款本年收入1301.26万元，比2017年度减少50448.3万元，降低97%，主要是项目支出减少；本年支出1513.1万元，比2017年度减少50119.06万元，降低97%，主要是项目支出减少。</w:t>
      </w:r>
    </w:p>
    <w:p>
      <w:pPr>
        <w:spacing w:after="0" w:line="580" w:lineRule="exact"/>
        <w:ind w:firstLine="640" w:firstLineChars="200"/>
        <w:rPr>
          <w:rFonts w:ascii="仿宋" w:hAnsi="仿宋" w:eastAsia="仿宋"/>
          <w:sz w:val="32"/>
          <w:szCs w:val="32"/>
        </w:rPr>
      </w:pPr>
      <w:r>
        <w:rPr>
          <w:rFonts w:hint="eastAsia" w:ascii="仿宋" w:hAnsi="仿宋" w:eastAsia="仿宋"/>
          <w:sz w:val="32"/>
          <w:szCs w:val="32"/>
        </w:rPr>
        <w:t>（二）财政拨款收支与年初预算数对比情况</w:t>
      </w:r>
    </w:p>
    <w:p>
      <w:pPr>
        <w:adjustRightInd w:val="0"/>
        <w:snapToGrid w:val="0"/>
        <w:spacing w:after="0" w:line="580" w:lineRule="exact"/>
        <w:ind w:firstLine="640" w:firstLineChars="200"/>
        <w:rPr>
          <w:rFonts w:ascii="仿宋" w:hAnsi="仿宋" w:eastAsia="仿宋"/>
          <w:sz w:val="32"/>
          <w:szCs w:val="32"/>
        </w:rPr>
      </w:pPr>
      <w:r>
        <w:rPr>
          <w:rFonts w:hint="eastAsia" w:ascii="仿宋" w:hAnsi="仿宋" w:eastAsia="仿宋"/>
          <w:sz w:val="32"/>
          <w:szCs w:val="32"/>
        </w:rPr>
        <w:t>本部门2018年度财政拨款本年收入3683.35万元，完成年初预算的100%,比年初预算增加389.03万元，决算数大预算数主要是项目支出增加；本年支出3881.64万元，完成年初预算的69%,比年初预算减少1753.06万元，决算数大小于预算数主要是项目支出减少。</w:t>
      </w:r>
    </w:p>
    <w:p>
      <w:pPr>
        <w:adjustRightInd w:val="0"/>
        <w:snapToGrid w:val="0"/>
        <w:spacing w:after="0" w:line="580" w:lineRule="exact"/>
        <w:ind w:firstLine="640" w:firstLineChars="200"/>
        <w:rPr>
          <w:rFonts w:ascii="仿宋" w:hAnsi="仿宋" w:eastAsia="仿宋"/>
          <w:sz w:val="32"/>
          <w:szCs w:val="32"/>
        </w:rPr>
      </w:pPr>
      <w:r>
        <w:rPr>
          <w:rFonts w:hint="eastAsia" w:ascii="仿宋" w:hAnsi="仿宋" w:eastAsia="仿宋"/>
          <w:sz w:val="32"/>
          <w:szCs w:val="32"/>
        </w:rPr>
        <w:t>其中，一般公共预算财政拨款本年收入完成年初预算72%，比年初预算减少912.23万元，决算数小于预算数主要是项目支出减少；支出完成年初预算72%，比年初预算减少925.78万元，决算数小于预算数主要是项目支出减少。政府性基金预算财政拨款本年收入完成年初预算100%，比年初预算增加301.26万元，决算数大于预算数主要是项目支出增加；支出完成年初预算100%，比年初预算增加513.1万元，决算数大于预算数主要是项目支出增加。</w:t>
      </w:r>
    </w:p>
    <w:p>
      <w:pPr>
        <w:adjustRightInd w:val="0"/>
        <w:snapToGrid w:val="0"/>
        <w:spacing w:after="0" w:line="580" w:lineRule="exact"/>
        <w:rPr>
          <w:rFonts w:ascii="仿宋" w:hAnsi="仿宋" w:eastAsia="仿宋"/>
          <w:sz w:val="32"/>
          <w:szCs w:val="32"/>
        </w:rPr>
      </w:pPr>
    </w:p>
    <w:p>
      <w:pPr>
        <w:numPr>
          <w:ilvl w:val="0"/>
          <w:numId w:val="1"/>
        </w:numPr>
        <w:adjustRightInd w:val="0"/>
        <w:snapToGrid w:val="0"/>
        <w:spacing w:after="0" w:line="580" w:lineRule="exact"/>
        <w:ind w:left="420" w:leftChars="200"/>
        <w:rPr>
          <w:rFonts w:ascii="仿宋" w:hAnsi="仿宋" w:eastAsia="仿宋"/>
          <w:sz w:val="32"/>
          <w:szCs w:val="32"/>
        </w:rPr>
      </w:pPr>
      <w:r>
        <w:rPr>
          <w:rFonts w:hint="eastAsia" w:ascii="仿宋" w:hAnsi="仿宋" w:eastAsia="仿宋"/>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sz w:val="32"/>
          <w:szCs w:val="32"/>
        </w:rPr>
        <w:t>2018 年度财政拨款支出3881.64万元，主要用于以下方面社会保障和就业支出305.77万元，占8%；医疗卫生与计划生育支出44.72万元，占1%；城乡社区支出1513.1万元，占 39%；国土海洋气象等支出土1942.77万元，占50%；住房保障（类）支出75.28万元，占2%。</w:t>
      </w:r>
    </w:p>
    <w:p>
      <w:pPr>
        <w:adjustRightInd w:val="0"/>
        <w:snapToGrid w:val="0"/>
        <w:spacing w:after="0" w:line="580" w:lineRule="exact"/>
        <w:ind w:left="420" w:leftChars="200"/>
        <w:rPr>
          <w:rFonts w:ascii="仿宋" w:hAnsi="仿宋" w:eastAsia="仿宋"/>
          <w:sz w:val="32"/>
          <w:szCs w:val="32"/>
        </w:rPr>
      </w:pPr>
      <w:r>
        <w:rPr>
          <w:rFonts w:hint="eastAsia" w:ascii="仿宋" w:hAnsi="仿宋" w:eastAsia="仿宋"/>
          <w:sz w:val="32"/>
          <w:szCs w:val="32"/>
        </w:rPr>
        <w:t>（四）一般公共预算财政拨款基本支出决算情况说明</w:t>
      </w:r>
    </w:p>
    <w:p>
      <w:pPr>
        <w:adjustRightInd w:val="0"/>
        <w:snapToGrid w:val="0"/>
        <w:spacing w:after="0" w:line="580" w:lineRule="exact"/>
        <w:ind w:firstLine="640" w:firstLineChars="200"/>
        <w:rPr>
          <w:rFonts w:ascii="仿宋" w:hAnsi="仿宋" w:eastAsia="仿宋"/>
          <w:sz w:val="32"/>
          <w:szCs w:val="32"/>
        </w:rPr>
      </w:pPr>
      <w:r>
        <w:rPr>
          <w:rFonts w:hint="eastAsia" w:ascii="仿宋" w:hAnsi="仿宋" w:eastAsia="仿宋"/>
          <w:sz w:val="32"/>
          <w:szCs w:val="32"/>
        </w:rPr>
        <w:t>2018 年度一般公共预算财政拨款基本支出1705.82万元，其中：人员经费 1588.86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116.96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cs="宋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2018</w:t>
      </w:r>
      <w:r>
        <w:rPr>
          <w:rFonts w:hint="eastAsia" w:ascii="仿宋" w:hAnsi="仿宋" w:eastAsia="仿宋"/>
          <w:sz w:val="32"/>
          <w:szCs w:val="32"/>
        </w:rPr>
        <w:t>年度一般公共预算财政拨款</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经费支出共计1.9万元，与2018年预算持平，与2017年决算持平，均无增减变化具体情况如下：</w:t>
      </w:r>
    </w:p>
    <w:p>
      <w:pPr>
        <w:adjustRightInd w:val="0"/>
        <w:snapToGrid w:val="0"/>
        <w:spacing w:line="584" w:lineRule="exact"/>
        <w:ind w:firstLine="643" w:firstLineChars="200"/>
        <w:rPr>
          <w:rFonts w:hint="eastAsia" w:ascii="仿宋" w:hAnsi="仿宋" w:eastAsia="仿宋"/>
          <w:sz w:val="32"/>
          <w:szCs w:val="32"/>
        </w:rPr>
      </w:pPr>
      <w:r>
        <w:rPr>
          <w:rFonts w:hint="eastAsia" w:ascii="仿宋" w:hAnsi="仿宋" w:eastAsia="仿宋"/>
          <w:b/>
          <w:sz w:val="32"/>
          <w:szCs w:val="32"/>
          <w:lang w:eastAsia="zh-CN"/>
        </w:rPr>
        <w:t>（一）</w:t>
      </w:r>
      <w:r>
        <w:rPr>
          <w:rFonts w:hint="eastAsia" w:ascii="仿宋" w:hAnsi="仿宋" w:eastAsia="仿宋"/>
          <w:b/>
          <w:sz w:val="32"/>
          <w:szCs w:val="32"/>
        </w:rPr>
        <w:t>因公出国（境）费支出0万元。</w:t>
      </w:r>
      <w:r>
        <w:rPr>
          <w:rFonts w:eastAsia="仿宋_GB2312"/>
          <w:sz w:val="32"/>
          <w:szCs w:val="32"/>
        </w:rPr>
        <w:t>本部门201</w:t>
      </w:r>
      <w:r>
        <w:rPr>
          <w:rFonts w:hint="eastAsia" w:eastAsia="仿宋_GB2312"/>
          <w:sz w:val="32"/>
          <w:szCs w:val="32"/>
          <w:lang w:val="en-US" w:eastAsia="zh-CN"/>
        </w:rPr>
        <w:t>8</w:t>
      </w:r>
      <w:r>
        <w:rPr>
          <w:rFonts w:eastAsia="仿宋_GB2312"/>
          <w:sz w:val="32"/>
          <w:szCs w:val="32"/>
        </w:rPr>
        <w:t>年度</w:t>
      </w:r>
      <w:r>
        <w:rPr>
          <w:rFonts w:hint="eastAsia" w:eastAsia="仿宋_GB2312"/>
          <w:sz w:val="32"/>
          <w:szCs w:val="32"/>
          <w:lang w:val="en-US" w:eastAsia="zh-CN"/>
        </w:rPr>
        <w:t>未发生</w:t>
      </w:r>
      <w:r>
        <w:rPr>
          <w:rFonts w:hint="eastAsia" w:ascii="仿宋_GB2312" w:eastAsia="仿宋_GB2312" w:cs="DengXian-Regular"/>
          <w:sz w:val="32"/>
          <w:szCs w:val="32"/>
        </w:rPr>
        <w:t>公出国（境）</w:t>
      </w:r>
      <w:r>
        <w:rPr>
          <w:rFonts w:hint="eastAsia" w:ascii="仿宋_GB2312" w:eastAsia="仿宋_GB2312" w:cs="DengXian-Regular"/>
          <w:sz w:val="32"/>
          <w:szCs w:val="32"/>
          <w:lang w:val="en-US" w:eastAsia="zh-CN"/>
        </w:rPr>
        <w:t>费用</w:t>
      </w:r>
      <w:r>
        <w:rPr>
          <w:rFonts w:hint="eastAsia" w:ascii="仿宋_GB2312" w:eastAsia="仿宋_GB2312" w:cs="DengXian-Regular"/>
          <w:sz w:val="32"/>
          <w:szCs w:val="32"/>
        </w:rPr>
        <w:t>。</w:t>
      </w:r>
      <w:r>
        <w:rPr>
          <w:rFonts w:eastAsia="仿宋_GB2312"/>
          <w:sz w:val="32"/>
          <w:szCs w:val="32"/>
        </w:rPr>
        <w:t>因公出国（境）费支出</w:t>
      </w:r>
      <w:r>
        <w:rPr>
          <w:rFonts w:hint="eastAsia" w:eastAsia="仿宋_GB2312"/>
          <w:sz w:val="32"/>
          <w:szCs w:val="32"/>
          <w:lang w:val="en-US" w:eastAsia="zh-CN"/>
        </w:rPr>
        <w:t>较</w:t>
      </w:r>
      <w:r>
        <w:rPr>
          <w:rFonts w:eastAsia="仿宋_GB2312"/>
          <w:sz w:val="32"/>
          <w:szCs w:val="32"/>
        </w:rPr>
        <w:t>年初预算</w:t>
      </w:r>
      <w:r>
        <w:rPr>
          <w:rFonts w:hint="eastAsia" w:eastAsia="仿宋_GB2312"/>
          <w:sz w:val="32"/>
          <w:szCs w:val="32"/>
          <w:lang w:val="en-US" w:eastAsia="zh-CN"/>
        </w:rPr>
        <w:t>无</w:t>
      </w:r>
      <w:r>
        <w:rPr>
          <w:rFonts w:eastAsia="仿宋_GB2312"/>
          <w:sz w:val="32"/>
          <w:szCs w:val="32"/>
        </w:rPr>
        <w:t>增减</w:t>
      </w:r>
      <w:r>
        <w:rPr>
          <w:rFonts w:hint="eastAsia" w:eastAsia="仿宋_GB2312"/>
          <w:sz w:val="32"/>
          <w:szCs w:val="32"/>
          <w:lang w:val="en-US" w:eastAsia="zh-CN"/>
        </w:rPr>
        <w:t>变化</w:t>
      </w:r>
      <w:r>
        <w:rPr>
          <w:rFonts w:eastAsia="仿宋_GB2312"/>
          <w:sz w:val="32"/>
          <w:szCs w:val="32"/>
        </w:rPr>
        <w:t>，较201</w:t>
      </w:r>
      <w:r>
        <w:rPr>
          <w:rFonts w:hint="eastAsia" w:eastAsia="仿宋_GB2312"/>
          <w:sz w:val="32"/>
          <w:szCs w:val="32"/>
          <w:lang w:val="en-US" w:eastAsia="zh-CN"/>
        </w:rPr>
        <w:t>8</w:t>
      </w:r>
      <w:r>
        <w:rPr>
          <w:rFonts w:eastAsia="仿宋_GB2312"/>
          <w:sz w:val="32"/>
          <w:szCs w:val="32"/>
        </w:rPr>
        <w:t>年度决算无增减变化。</w:t>
      </w:r>
    </w:p>
    <w:p>
      <w:pPr>
        <w:adjustRightInd w:val="0"/>
        <w:snapToGrid w:val="0"/>
        <w:spacing w:line="584" w:lineRule="exact"/>
        <w:ind w:firstLine="643" w:firstLineChars="200"/>
        <w:rPr>
          <w:rFonts w:hint="eastAsia" w:ascii="仿宋" w:hAnsi="仿宋" w:eastAsia="仿宋" w:cs="Times New Roman"/>
          <w:sz w:val="32"/>
          <w:szCs w:val="32"/>
        </w:rPr>
      </w:pPr>
      <w:r>
        <w:rPr>
          <w:rFonts w:hint="eastAsia" w:ascii="仿宋" w:hAnsi="仿宋" w:eastAsia="仿宋" w:cs="Times New Roman"/>
          <w:b/>
          <w:bCs/>
          <w:sz w:val="32"/>
          <w:szCs w:val="32"/>
          <w:lang w:eastAsia="zh-CN"/>
        </w:rPr>
        <w:t>（二）</w:t>
      </w:r>
      <w:r>
        <w:rPr>
          <w:rFonts w:hint="eastAsia" w:ascii="仿宋" w:hAnsi="仿宋" w:eastAsia="仿宋" w:cs="Times New Roman"/>
          <w:b/>
          <w:bCs/>
          <w:sz w:val="32"/>
          <w:szCs w:val="32"/>
        </w:rPr>
        <w:t>公务用车购置及运行维护费支出</w:t>
      </w:r>
      <w:r>
        <w:rPr>
          <w:rFonts w:hint="eastAsia" w:ascii="仿宋" w:hAnsi="仿宋" w:eastAsia="仿宋" w:cs="Times New Roman"/>
          <w:b/>
          <w:bCs/>
          <w:sz w:val="32"/>
          <w:szCs w:val="32"/>
          <w:lang w:val="en-US" w:eastAsia="zh-CN"/>
        </w:rPr>
        <w:t>1.9</w:t>
      </w:r>
      <w:r>
        <w:rPr>
          <w:rFonts w:hint="eastAsia" w:ascii="仿宋" w:hAnsi="仿宋" w:eastAsia="仿宋" w:cs="Times New Roman"/>
          <w:b/>
          <w:bCs/>
          <w:sz w:val="32"/>
          <w:szCs w:val="32"/>
        </w:rPr>
        <w:t>万元</w:t>
      </w:r>
      <w:r>
        <w:rPr>
          <w:rFonts w:hint="eastAsia" w:ascii="仿宋" w:hAnsi="仿宋" w:eastAsia="仿宋" w:cs="Times New Roman"/>
          <w:sz w:val="32"/>
          <w:szCs w:val="32"/>
        </w:rPr>
        <w:t>。本部门2018年度公务用车购置及运行维护费较年初预算</w:t>
      </w:r>
      <w:r>
        <w:rPr>
          <w:rFonts w:hint="eastAsia" w:ascii="仿宋" w:hAnsi="仿宋" w:eastAsia="仿宋" w:cs="Times New Roman"/>
          <w:sz w:val="32"/>
          <w:szCs w:val="32"/>
          <w:lang w:eastAsia="zh-CN"/>
        </w:rPr>
        <w:t>持平，无增减变化。</w:t>
      </w:r>
      <w:r>
        <w:rPr>
          <w:rFonts w:hint="eastAsia" w:ascii="仿宋" w:hAnsi="仿宋" w:eastAsia="仿宋"/>
          <w:sz w:val="32"/>
          <w:szCs w:val="32"/>
        </w:rPr>
        <w:t>与2017年决算持平</w:t>
      </w:r>
      <w:r>
        <w:rPr>
          <w:rFonts w:hint="eastAsia" w:ascii="仿宋" w:hAnsi="仿宋" w:eastAsia="仿宋"/>
          <w:sz w:val="32"/>
          <w:szCs w:val="32"/>
          <w:lang w:eastAsia="zh-CN"/>
        </w:rPr>
        <w:t>，</w:t>
      </w:r>
      <w:r>
        <w:rPr>
          <w:rFonts w:hint="eastAsia" w:ascii="仿宋" w:hAnsi="仿宋" w:eastAsia="仿宋" w:cs="Times New Roman"/>
          <w:sz w:val="32"/>
          <w:szCs w:val="32"/>
        </w:rPr>
        <w:t>其中：</w:t>
      </w:r>
      <w:bookmarkStart w:id="1" w:name="_GoBack"/>
      <w:bookmarkEnd w:id="1"/>
    </w:p>
    <w:p>
      <w:pPr>
        <w:numPr>
          <w:ilvl w:val="0"/>
          <w:numId w:val="0"/>
        </w:numPr>
        <w:adjustRightInd w:val="0"/>
        <w:snapToGrid w:val="0"/>
        <w:spacing w:after="0" w:line="580" w:lineRule="exact"/>
        <w:ind w:leftChars="200" w:firstLine="640" w:firstLineChars="200"/>
        <w:rPr>
          <w:rFonts w:hint="eastAsia" w:ascii="仿宋" w:hAnsi="仿宋" w:eastAsia="仿宋_GB2312"/>
          <w:color w:val="000000"/>
          <w:sz w:val="32"/>
          <w:szCs w:val="32"/>
          <w:lang w:eastAsia="zh-CN"/>
        </w:rPr>
      </w:pPr>
      <w:r>
        <w:rPr>
          <w:rFonts w:hint="eastAsia" w:ascii="仿宋_GB2312" w:hAnsi="Times New Roman" w:eastAsia="仿宋_GB2312" w:cs="DengXian-Regular"/>
          <w:b w:val="0"/>
          <w:bCs/>
          <w:sz w:val="32"/>
          <w:szCs w:val="32"/>
        </w:rPr>
        <w:t>公务用车购置费</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本部门</w:t>
      </w:r>
      <w:r>
        <w:rPr>
          <w:rFonts w:hint="eastAsia" w:ascii="仿宋_GB2312" w:hAnsi="Times New Roman" w:eastAsia="仿宋_GB2312" w:cs="DengXian-Regular"/>
          <w:color w:val="000000"/>
          <w:sz w:val="32"/>
          <w:szCs w:val="32"/>
          <w:highlight w:val="none"/>
        </w:rPr>
        <w:t>未发生“公务用车购置”经费支出”、“与年初预算持平”、“与2018年度决算支出持平</w:t>
      </w:r>
      <w:r>
        <w:rPr>
          <w:rFonts w:hint="eastAsia" w:ascii="仿宋_GB2312" w:hAnsi="Times New Roman" w:eastAsia="仿宋_GB2312" w:cs="DengXian-Regular"/>
          <w:color w:val="000000"/>
          <w:sz w:val="32"/>
          <w:szCs w:val="32"/>
          <w:highlight w:val="none"/>
          <w:lang w:eastAsia="zh-CN"/>
        </w:rPr>
        <w:t>。</w:t>
      </w:r>
    </w:p>
    <w:p>
      <w:pPr>
        <w:adjustRightInd w:val="0"/>
        <w:snapToGrid w:val="0"/>
        <w:spacing w:line="584" w:lineRule="exact"/>
        <w:ind w:firstLine="640" w:firstLineChars="200"/>
        <w:rPr>
          <w:rFonts w:ascii="仿宋" w:hAnsi="仿宋" w:eastAsia="仿宋"/>
          <w:color w:val="000000"/>
          <w:sz w:val="32"/>
          <w:szCs w:val="32"/>
        </w:rPr>
      </w:pPr>
      <w:r>
        <w:rPr>
          <w:rFonts w:ascii="仿宋" w:hAnsi="仿宋" w:eastAsia="仿宋"/>
          <w:sz w:val="32"/>
          <w:szCs w:val="32"/>
        </w:rPr>
        <w:t>公务用车运行维护费支出</w:t>
      </w:r>
      <w:r>
        <w:rPr>
          <w:rFonts w:hint="eastAsia" w:ascii="仿宋" w:hAnsi="仿宋" w:eastAsia="仿宋"/>
          <w:sz w:val="32"/>
          <w:szCs w:val="32"/>
        </w:rPr>
        <w:t>1.9</w:t>
      </w:r>
      <w:r>
        <w:rPr>
          <w:rFonts w:ascii="仿宋" w:hAnsi="仿宋" w:eastAsia="仿宋"/>
          <w:sz w:val="32"/>
          <w:szCs w:val="32"/>
        </w:rPr>
        <w:t>万元。本部门201</w:t>
      </w:r>
      <w:r>
        <w:rPr>
          <w:rFonts w:hint="eastAsia" w:ascii="仿宋" w:hAnsi="仿宋" w:eastAsia="仿宋"/>
          <w:sz w:val="32"/>
          <w:szCs w:val="32"/>
        </w:rPr>
        <w:t>8</w:t>
      </w:r>
      <w:r>
        <w:rPr>
          <w:rFonts w:ascii="仿宋" w:hAnsi="仿宋" w:eastAsia="仿宋"/>
          <w:sz w:val="32"/>
          <w:szCs w:val="32"/>
        </w:rPr>
        <w:t>年末单位公务用车保有量</w:t>
      </w:r>
      <w:r>
        <w:rPr>
          <w:rFonts w:hint="eastAsia" w:ascii="仿宋" w:hAnsi="仿宋" w:eastAsia="仿宋"/>
          <w:sz w:val="32"/>
          <w:szCs w:val="32"/>
        </w:rPr>
        <w:t>1</w:t>
      </w:r>
      <w:r>
        <w:rPr>
          <w:rFonts w:ascii="仿宋" w:hAnsi="仿宋" w:eastAsia="仿宋"/>
          <w:sz w:val="32"/>
          <w:szCs w:val="32"/>
        </w:rPr>
        <w:t>辆。</w:t>
      </w:r>
      <w:r>
        <w:rPr>
          <w:rFonts w:ascii="仿宋" w:hAnsi="仿宋" w:eastAsia="仿宋"/>
          <w:color w:val="000000"/>
          <w:sz w:val="32"/>
          <w:szCs w:val="32"/>
        </w:rPr>
        <w:t>较年初预算无增减变化</w:t>
      </w:r>
      <w:r>
        <w:rPr>
          <w:rFonts w:hint="eastAsia" w:ascii="仿宋" w:hAnsi="仿宋" w:eastAsia="仿宋"/>
          <w:color w:val="000000"/>
          <w:sz w:val="32"/>
          <w:szCs w:val="32"/>
        </w:rPr>
        <w:t>，</w:t>
      </w:r>
      <w:r>
        <w:rPr>
          <w:rFonts w:ascii="仿宋" w:hAnsi="仿宋" w:eastAsia="仿宋"/>
          <w:color w:val="000000"/>
          <w:sz w:val="32"/>
          <w:szCs w:val="32"/>
        </w:rPr>
        <w:t>较201</w:t>
      </w:r>
      <w:r>
        <w:rPr>
          <w:rFonts w:hint="eastAsia" w:ascii="仿宋" w:hAnsi="仿宋" w:eastAsia="仿宋"/>
          <w:color w:val="000000"/>
          <w:sz w:val="32"/>
          <w:szCs w:val="32"/>
        </w:rPr>
        <w:t>7</w:t>
      </w:r>
      <w:r>
        <w:rPr>
          <w:rFonts w:ascii="仿宋" w:hAnsi="仿宋" w:eastAsia="仿宋"/>
          <w:color w:val="000000"/>
          <w:sz w:val="32"/>
          <w:szCs w:val="32"/>
        </w:rPr>
        <w:t>年度决算无增减变化</w:t>
      </w:r>
      <w:r>
        <w:rPr>
          <w:rFonts w:hint="eastAsia" w:ascii="仿宋" w:hAnsi="仿宋" w:eastAsia="仿宋"/>
          <w:color w:val="000000"/>
          <w:sz w:val="32"/>
          <w:szCs w:val="32"/>
        </w:rPr>
        <w:t>。</w:t>
      </w:r>
    </w:p>
    <w:p>
      <w:pPr>
        <w:adjustRightInd w:val="0"/>
        <w:snapToGrid w:val="0"/>
        <w:spacing w:line="584" w:lineRule="exact"/>
        <w:ind w:firstLine="643" w:firstLineChars="200"/>
        <w:rPr>
          <w:rFonts w:ascii="仿宋" w:hAnsi="仿宋" w:eastAsia="仿宋"/>
          <w:color w:val="000000"/>
          <w:sz w:val="32"/>
          <w:szCs w:val="32"/>
        </w:rPr>
      </w:pPr>
      <w:r>
        <w:rPr>
          <w:rFonts w:hint="eastAsia" w:eastAsia="楷体_GB2312"/>
          <w:b/>
          <w:bCs/>
          <w:sz w:val="32"/>
          <w:szCs w:val="32"/>
        </w:rPr>
        <w:t>（三）公务接待费支出0万元。</w:t>
      </w:r>
      <w:r>
        <w:rPr>
          <w:rFonts w:ascii="仿宋" w:hAnsi="仿宋" w:eastAsia="仿宋"/>
          <w:sz w:val="32"/>
          <w:szCs w:val="32"/>
        </w:rPr>
        <w:t>本部门201</w:t>
      </w:r>
      <w:r>
        <w:rPr>
          <w:rFonts w:hint="eastAsia" w:ascii="仿宋" w:hAnsi="仿宋" w:eastAsia="仿宋"/>
          <w:sz w:val="32"/>
          <w:szCs w:val="32"/>
        </w:rPr>
        <w:t>8</w:t>
      </w:r>
      <w:r>
        <w:rPr>
          <w:rFonts w:ascii="仿宋" w:hAnsi="仿宋" w:eastAsia="仿宋"/>
          <w:sz w:val="32"/>
          <w:szCs w:val="32"/>
        </w:rPr>
        <w:t>年度公务接待共</w:t>
      </w:r>
      <w:r>
        <w:rPr>
          <w:rFonts w:hint="eastAsia" w:ascii="仿宋" w:hAnsi="仿宋" w:eastAsia="仿宋"/>
          <w:sz w:val="32"/>
          <w:szCs w:val="32"/>
        </w:rPr>
        <w:t>0</w:t>
      </w:r>
      <w:r>
        <w:rPr>
          <w:rFonts w:ascii="仿宋" w:hAnsi="仿宋" w:eastAsia="仿宋"/>
          <w:sz w:val="32"/>
          <w:szCs w:val="32"/>
        </w:rPr>
        <w:t>批次、</w:t>
      </w:r>
      <w:r>
        <w:rPr>
          <w:rFonts w:hint="eastAsia" w:ascii="仿宋" w:hAnsi="仿宋" w:eastAsia="仿宋"/>
          <w:sz w:val="32"/>
          <w:szCs w:val="32"/>
        </w:rPr>
        <w:t>0</w:t>
      </w:r>
      <w:r>
        <w:rPr>
          <w:rFonts w:ascii="仿宋" w:hAnsi="仿宋" w:eastAsia="仿宋"/>
          <w:sz w:val="32"/>
          <w:szCs w:val="32"/>
        </w:rPr>
        <w:t>人次。</w:t>
      </w:r>
      <w:r>
        <w:rPr>
          <w:rFonts w:ascii="仿宋" w:hAnsi="仿宋" w:eastAsia="仿宋"/>
          <w:color w:val="000000"/>
          <w:sz w:val="32"/>
          <w:szCs w:val="32"/>
        </w:rPr>
        <w:t>较年初预算无增减变化</w:t>
      </w:r>
      <w:r>
        <w:rPr>
          <w:rFonts w:hint="eastAsia" w:ascii="仿宋" w:hAnsi="仿宋" w:eastAsia="仿宋"/>
          <w:color w:val="000000"/>
          <w:sz w:val="32"/>
          <w:szCs w:val="32"/>
        </w:rPr>
        <w:t>，</w:t>
      </w:r>
      <w:r>
        <w:rPr>
          <w:rFonts w:ascii="仿宋" w:hAnsi="仿宋" w:eastAsia="仿宋"/>
          <w:color w:val="000000"/>
          <w:sz w:val="32"/>
          <w:szCs w:val="32"/>
        </w:rPr>
        <w:t>较201</w:t>
      </w:r>
      <w:r>
        <w:rPr>
          <w:rFonts w:hint="eastAsia" w:ascii="仿宋" w:hAnsi="仿宋" w:eastAsia="仿宋"/>
          <w:color w:val="000000"/>
          <w:sz w:val="32"/>
          <w:szCs w:val="32"/>
        </w:rPr>
        <w:t>7</w:t>
      </w:r>
      <w:r>
        <w:rPr>
          <w:rFonts w:ascii="仿宋" w:hAnsi="仿宋" w:eastAsia="仿宋"/>
          <w:color w:val="000000"/>
          <w:sz w:val="32"/>
          <w:szCs w:val="32"/>
        </w:rPr>
        <w:t>年度决算无增减变化</w:t>
      </w:r>
      <w:r>
        <w:rPr>
          <w:rFonts w:hint="eastAsia" w:ascii="仿宋" w:hAnsi="仿宋" w:eastAsia="仿宋"/>
          <w:color w:val="000000"/>
          <w:sz w:val="32"/>
          <w:szCs w:val="32"/>
        </w:rPr>
        <w:t>。</w:t>
      </w:r>
    </w:p>
    <w:p>
      <w:pPr>
        <w:adjustRightInd w:val="0"/>
        <w:snapToGrid w:val="0"/>
        <w:spacing w:after="0" w:line="580" w:lineRule="exact"/>
        <w:ind w:firstLine="640" w:firstLineChars="200"/>
        <w:rPr>
          <w:rFonts w:hint="eastAsia" w:ascii="黑体" w:eastAsia="黑体"/>
          <w:sz w:val="32"/>
          <w:szCs w:val="40"/>
        </w:rPr>
      </w:pPr>
      <w:r>
        <w:rPr>
          <w:rFonts w:hint="eastAsia" w:ascii="黑体" w:eastAsia="黑体"/>
          <w:sz w:val="32"/>
          <w:szCs w:val="40"/>
        </w:rPr>
        <w:t>六、预算绩效情况说明</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（一）预算绩效管理工作开展情况。</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本部门依据2018年预算情况对各决算项目认真开展了绩效评价工作。本部门预算项目取得了良好的经济效益、社会效益和环境效益，减少了资金使用管理中的损失浪费现象，使资金达到合理、优化配给。本部门不断强化评价结果的应用，建立预算绩效与预算安排挂钩机制，将预算项目、工作活动及综合绩效评价结果作为安排项目资金的重要依据。</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（二）项目绩效自评结果。</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1、预算项目绩效评价的组织与实施</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（1）绩效评价的工作组织</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为加强财政性发展专项资金项目绩效评价工作，本部门成立财政资金绩效评价工作小组，由财务部门及单位相关负责同志为成员。工作小组办公室设在财务室，负责制定绩效评价工作实施方案，组织协调相关工作。</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（2）评价范围</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2017年度财政预算安排项目，县政府确定的县重点工程。</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（3）绩效评价标准和评价方法</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根据香河县财政局《关于做好部门绩效评价工作的通知》开展2017年度预算项目绩效评价工作。通过对照编制项目绩效预算计划中确定的绩效目标和指标进行评价，动态监管各项资金支出和项目执行，分析绩效指标运行状态，确定的绩效目标的实现程度。</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2、部门综合绩效评价结论</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 xml:space="preserve">  绩效预算</w:t>
      </w:r>
      <w:bookmarkStart w:id="0" w:name="_Toc407801290"/>
      <w:r>
        <w:rPr>
          <w:rFonts w:hint="eastAsia" w:ascii="仿宋" w:hAnsi="仿宋" w:eastAsia="仿宋" w:cs="Times New Roman"/>
          <w:b w:val="0"/>
          <w:bCs w:val="0"/>
          <w:color w:val="000000"/>
          <w:kern w:val="0"/>
        </w:rPr>
        <w:t>部门职责-工作活动绩效目标</w:t>
      </w:r>
      <w:bookmarkEnd w:id="0"/>
      <w:r>
        <w:rPr>
          <w:rFonts w:hint="eastAsia" w:ascii="仿宋" w:hAnsi="仿宋" w:eastAsia="仿宋" w:cs="Times New Roman"/>
          <w:b w:val="0"/>
          <w:bCs w:val="0"/>
          <w:color w:val="000000"/>
          <w:kern w:val="0"/>
        </w:rPr>
        <w:t>完成情况</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（1）完成省市下达和县委县政府制定的造林任务及全县森林覆盖率考核目标。有效改善生态环境。</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（2）增加有林地面积，提高全县绿化水平和森林覆盖率，改善生态环境。</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（3）提高森林质量，促进林业持续发展</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（4）工程治理地区的生态状况得到明显改善。</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（5）沙化土地得以治理，重点治理区生态状况明显改善。</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（6）加大森林资源保护力度，促进全县生态环境进一步改善</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（7）加强林业自然保护区、森林公园管理、加强湿地保护恢复。</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（8）推进林果产业标准化生产，改善品种，调整结构，提升品质和产量，提升经济效益。</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（9）促进全县果品基地建设提档升级，全面提高果品质量安全水平</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（10）提高我县苗木和花卉产业的整体水平。</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（11）提高我县林业产业的整体水平。</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（12）示范推广林业生产管理的良种、良法，提高林产品品质和经济效益。</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（13）提高林木种苗质量，保障林木良种供应，加快林木良种推广步伐</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（14）增加林业发展活力，促进林业持续发展</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（15）预防和减少自然灾害对森林资源的损失，保护森林资源</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（16）加强野生动植物保护和陆生野生动物疫源疫病监测防控，保障生态安全。</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（17）发挥科技成果的示范带动作用，完善基层推广体系。</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（18）保障林产品、果品质量安全</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（19）提高森林公安队伍执法能力，减少林区案件发生、保护森林及野生动物资源。</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（20）改善国有林场和基层林业单位的基础设施，缓解国有林场经济危困，保障林业健康发展。</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（21）监管全县林地、林权和森林资源，提高林业资源资产安全性、完整性和使用效益。</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（22）依法依规完成工作任务，确保机关业务正常运行，提高业务工作效率。</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（23）确保机关正常运行，提高业务工作效率。</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（三）重点项目绩效评价结果。</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一、项目概况</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 xml:space="preserve">  有害生物防治经费</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近年来，随着生态建设的需要，全县林业有了较快的发展，造林面积逐年增加。但是，随之而来的林业有害生物灾害日趋严重。造成有害生物种类增加，发生面积扩大，危害严重。从调查结果看，全县林业有害生物发生危害比较严重，一是常发性食叶害虫春尺蠖、杨扇舟蛾、潜叶蛾等总体上升，呈多点爆发，局部成灾的态势，二是危险性有害生物如美国白蛾仍呈扩散蔓延趋势。直接影响了我县林业的发展和林农利益。</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 xml:space="preserve">    一、绩效评价指标分析情况</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 xml:space="preserve">   林业有害生物美国白蛾是一种严重危害农林植物的食叶害虫，被列为世界性检疫对象，具有食性杂、取食量大，繁殖力强、适应性强等特点，同时具有“一年轻、二年蓄势、三年爆发”的生物学特性。如果防治不彻底，哪怕是漏掉几条幼虫，经过1-2年的繁殖，很快又泛滥成灾。通过防治能有效的控制病虫害的发生。</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 xml:space="preserve">    二、项目综合评价等级和评价结论</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 xml:space="preserve">    (一)产出招标：1工程前期手续，编制飞防实施方案和工程招标已全部完成，绩效指标评价为优。2工程完成情况，全县完成春尺蠖，美国白蛾防治作业面积36万亩。已全部完成，绩效指标评价为优。</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 xml:space="preserve">    (二) 效果指标：降低虫口密度和危害程度，完成国家省、市下达的防控任务目标。已全部完成任务，绩效指标评价为优。</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七、其他重要事项的说明</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（一）机关运行经费情况</w:t>
      </w:r>
    </w:p>
    <w:p>
      <w:pPr>
        <w:pStyle w:val="4"/>
        <w:spacing w:before="0" w:after="0" w:line="580" w:lineRule="exact"/>
        <w:ind w:firstLine="640" w:firstLineChars="200"/>
        <w:rPr>
          <w:rFonts w:hint="eastAsia" w:ascii="仿宋" w:hAnsi="仿宋" w:eastAsia="仿宋" w:cs="Times New Roman"/>
          <w:b w:val="0"/>
          <w:bCs w:val="0"/>
          <w:color w:val="000000"/>
          <w:kern w:val="0"/>
        </w:rPr>
      </w:pPr>
      <w:r>
        <w:rPr>
          <w:rFonts w:hint="eastAsia" w:ascii="仿宋" w:hAnsi="仿宋" w:eastAsia="仿宋" w:cs="Times New Roman"/>
          <w:b w:val="0"/>
          <w:bCs w:val="0"/>
          <w:color w:val="000000"/>
          <w:kern w:val="0"/>
        </w:rPr>
        <w:t>本部门2018年度机关运行经费支出116.96万元，比年初预算数增加64.43万元，增长55 %。主要是人员增加，人员经费增加。较2017年度决算减少563.19万元，降低82.8%，主要是调整到单位业务费中列支。</w:t>
      </w:r>
    </w:p>
    <w:p>
      <w:pPr>
        <w:pStyle w:val="4"/>
        <w:spacing w:before="0" w:after="0" w:line="580" w:lineRule="exact"/>
        <w:ind w:firstLine="640" w:firstLineChars="200"/>
        <w:rPr>
          <w:rFonts w:ascii="仿宋" w:hAnsi="仿宋" w:eastAsia="仿宋"/>
          <w:b w:val="0"/>
          <w:bCs w:val="0"/>
          <w:color w:val="000000"/>
          <w:kern w:val="0"/>
        </w:rPr>
      </w:pPr>
      <w:r>
        <w:rPr>
          <w:rFonts w:hint="eastAsia" w:ascii="仿宋" w:hAnsi="仿宋" w:eastAsia="仿宋"/>
          <w:b w:val="0"/>
          <w:bCs w:val="0"/>
          <w:color w:val="000000"/>
          <w:kern w:val="0"/>
        </w:rPr>
        <w:t>（二）政府采购情况</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color w:val="000000"/>
          <w:kern w:val="0"/>
        </w:rPr>
        <w:t>本部门2018年度政府采购支出总额504.5万元，从采购类型来看，政府采购货物支出59.2 万元、政府采购工程支出0万元、政府采购服务支出 445.3万元。授予中小企业合同</w:t>
      </w:r>
      <w:r>
        <w:rPr>
          <w:rFonts w:hint="eastAsia" w:ascii="仿宋" w:hAnsi="仿宋" w:eastAsia="仿宋" w:cs="Times New Roman"/>
          <w:b w:val="0"/>
          <w:bCs w:val="0"/>
          <w:color w:val="000000"/>
          <w:kern w:val="0"/>
        </w:rPr>
        <w:t>金0万元，占政府采购支出总额的0%，其中授予小微企业合同金额0万元，占政府采购支出总额的0 %。</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（三）国有资产占用情况</w:t>
      </w:r>
    </w:p>
    <w:p>
      <w:pPr>
        <w:adjustRightInd w:val="0"/>
        <w:snapToGrid w:val="0"/>
        <w:spacing w:after="0" w:line="580" w:lineRule="exact"/>
        <w:ind w:firstLine="640" w:firstLineChars="2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t>截至2018年12月31日，本部门共有车辆6辆，与上年相比持平。其中，副部（省）级及以上领导用车0辆，主要领导干部用车0辆，机要通信用车0辆，应急保障用车0辆，执法执勤用车4辆，特种专业技术用车0辆，离退休干部用车0辆，其他用车2辆，其他用车主要是一般公务用车；单位价值50万元以上通用设备0台（套），比上年无增减变化，单位价值100万元以上专用设备0台（套）比上年无增减变化。</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（四）其他需要说明的情况</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1、本部门2018年度国有资本经营预算财政拨款无收支及结转结余情况，故国有资本经营预算财政拨款决算表以空表列示。</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（一）财政拨款收入：本年度从本级财政部门取得的财政拨款，包括一般公共预算财政拨款和政府性基金预算财政拨款。</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（二）事业收入：指事业单位开展专业业务活动及辅助活动所取得的收入。</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（三）其他收入：指除上述“财政拨款收入”“事业收入”“经营收入”等以外的收入。</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（五）年初结转和结余：指以前年度尚未完成、结转到本年仍按原规定用途继续使用的资金，或项目已完成等产生的结余资金。</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（六）结余分配：指事业单位按照事业单位会计制度的规定从非财政补助结余中分配的事业基金和职工福利基金等。</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（七）年末结转和结余：指单位按有关规定结转到下年或以后年度继续使用的资金，或项目已完成等产生的结余资金。</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（八）基本支出：填列单位为保障机构正常运转、完成日常工作任务而发生的各项支出。</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（九）项目支出：填列单位为完成特定的行政工作任务或事业发展目标，在基本支出之外发生的各项支出</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（十）资本性支出（基本建设）：填列切块由发展改革部门安排的基本建设支出，对企业补助支出不在此科目反映。</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（十一）资本性支出：填列各单位安排的资本性支出。切块由发展改革部门安排的基本建设支出不在此科目反映。</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（十三）其他交通费用：填列单位除公务用车运行维护费以外的其他交通费用。如公务交通补贴、租车费用、出租车费用、飞机、船舶等的燃料费、维修费、保险费等。</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（十四）公务用车购置：填列单位公务用车购置支出（含车辆购置税、牌照费）。</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（十五）其他交通工具购置：填列单位除公务用车外的其他各类交通工具（如船舶、飞机）购置支出（含车辆购置税、牌照费）。</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pStyle w:val="3"/>
        <w:spacing w:before="0" w:after="0" w:line="580" w:lineRule="exact"/>
        <w:ind w:firstLine="640" w:firstLineChars="200"/>
        <w:rPr>
          <w:rFonts w:ascii="仿宋" w:hAnsi="仿宋" w:eastAsia="仿宋" w:cs="Times New Roman"/>
          <w:b w:val="0"/>
          <w:bCs w:val="0"/>
          <w:color w:val="000000"/>
          <w:kern w:val="0"/>
        </w:rPr>
      </w:pPr>
      <w:r>
        <w:rPr>
          <w:rFonts w:hint="eastAsia" w:ascii="仿宋" w:hAnsi="仿宋" w:eastAsia="仿宋" w:cs="Times New Roman"/>
          <w:b w:val="0"/>
          <w:bCs w:val="0"/>
          <w:color w:val="000000"/>
          <w:kern w:val="0"/>
        </w:rPr>
        <w:t>（十七）经费形式:按照经费来源，可分为财政拨款、财政性资金基本保证、财政性资金定额或定项补助、财政性资金零补助四类。</w:t>
      </w:r>
    </w:p>
    <w:p>
      <w:pPr>
        <w:pStyle w:val="3"/>
        <w:spacing w:before="0" w:after="0" w:line="580" w:lineRule="exact"/>
        <w:ind w:firstLine="640" w:firstLineChars="200"/>
        <w:rPr>
          <w:rFonts w:ascii="仿宋" w:hAnsi="仿宋" w:eastAsia="仿宋" w:cs="Times New Roman"/>
          <w:b w:val="0"/>
          <w:bCs w:val="0"/>
          <w:color w:val="000000"/>
          <w:kern w:val="0"/>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A060D88-54CC-47FA-86B6-7A27D004D73D}"/>
  </w:font>
  <w:font w:name="黑体">
    <w:panose1 w:val="02010609060101010101"/>
    <w:charset w:val="86"/>
    <w:family w:val="auto"/>
    <w:pitch w:val="default"/>
    <w:sig w:usb0="800002BF" w:usb1="38CF7CFA" w:usb2="00000016" w:usb3="00000000" w:csb0="00040001" w:csb1="00000000"/>
    <w:embedRegular r:id="rId2" w:fontKey="{DEEC51FA-378D-46AE-9B8E-4168E77DFF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0FDF1CA0-E4AF-49C9-806B-E2B774DF5B16}"/>
  </w:font>
  <w:font w:name="楷体">
    <w:panose1 w:val="02010609060101010101"/>
    <w:charset w:val="86"/>
    <w:family w:val="modern"/>
    <w:pitch w:val="default"/>
    <w:sig w:usb0="800002BF" w:usb1="38CF7CFA" w:usb2="00000016" w:usb3="00000000" w:csb0="00040001" w:csb1="00000000"/>
    <w:embedRegular r:id="rId4" w:fontKey="{E4600EEE-BC9D-4259-84E0-90EF30046AC7}"/>
  </w:font>
  <w:font w:name="仿宋">
    <w:panose1 w:val="02010609060101010101"/>
    <w:charset w:val="86"/>
    <w:family w:val="modern"/>
    <w:pitch w:val="default"/>
    <w:sig w:usb0="800002BF" w:usb1="38CF7CFA" w:usb2="00000016" w:usb3="00000000" w:csb0="00040001" w:csb1="00000000"/>
    <w:embedRegular r:id="rId5" w:fontKey="{8DBB15BF-96B6-4D4A-97E0-24D31C3E39F8}"/>
  </w:font>
  <w:font w:name="仿宋_GB2312">
    <w:panose1 w:val="02010609030101010101"/>
    <w:charset w:val="86"/>
    <w:family w:val="modern"/>
    <w:pitch w:val="default"/>
    <w:sig w:usb0="00000001" w:usb1="080E0000" w:usb2="00000000" w:usb3="00000000" w:csb0="00040000" w:csb1="00000000"/>
    <w:embedRegular r:id="rId6" w:fontKey="{96948F86-3A58-4544-8054-1D6B3A0D7A97}"/>
  </w:font>
  <w:font w:name="ArialUnicodeMS">
    <w:altName w:val="Malgun Gothic"/>
    <w:panose1 w:val="00000000000000000000"/>
    <w:charset w:val="81"/>
    <w:family w:val="auto"/>
    <w:pitch w:val="default"/>
    <w:sig w:usb0="00000000" w:usb1="00000000" w:usb2="00000010" w:usb3="00000000" w:csb0="00080000" w:csb1="00000000"/>
    <w:embedRegular r:id="rId7" w:fontKey="{5301A302-7FBB-441F-B2C0-AD3B3CC206C9}"/>
  </w:font>
  <w:font w:name="MS-UIGothic,Bold">
    <w:altName w:val="Malgun Gothic"/>
    <w:panose1 w:val="00000000000000000000"/>
    <w:charset w:val="81"/>
    <w:family w:val="auto"/>
    <w:pitch w:val="default"/>
    <w:sig w:usb0="00000000" w:usb1="00000000" w:usb2="00000010" w:usb3="00000000" w:csb0="00080000" w:csb1="00000000"/>
    <w:embedRegular r:id="rId8" w:fontKey="{516DC0EA-CAE3-45A3-96F8-AF710639AE82}"/>
  </w:font>
  <w:font w:name="DengXian-Regular">
    <w:altName w:val="宋体"/>
    <w:panose1 w:val="00000000000000000000"/>
    <w:charset w:val="86"/>
    <w:family w:val="auto"/>
    <w:pitch w:val="default"/>
    <w:sig w:usb0="00000000" w:usb1="00000000" w:usb2="00000010" w:usb3="00000000" w:csb0="00040000" w:csb1="00000000"/>
    <w:embedRegular r:id="rId9" w:fontKey="{755E0F13-B381-44C7-BF49-A605FA9A3065}"/>
  </w:font>
  <w:font w:name="楷体_GB2312">
    <w:panose1 w:val="02010609030101010101"/>
    <w:charset w:val="86"/>
    <w:family w:val="modern"/>
    <w:pitch w:val="default"/>
    <w:sig w:usb0="00000001" w:usb1="080E0000" w:usb2="00000000" w:usb3="00000000" w:csb0="00040000" w:csb1="00000000"/>
    <w:embedRegular r:id="rId10" w:fontKey="{47BBE1CD-6EFE-4F28-8430-F8A78B7D15C8}"/>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025A3"/>
    <w:rsid w:val="00005255"/>
    <w:rsid w:val="00020D8D"/>
    <w:rsid w:val="00020FAF"/>
    <w:rsid w:val="00022474"/>
    <w:rsid w:val="00024E7F"/>
    <w:rsid w:val="00031198"/>
    <w:rsid w:val="000340F0"/>
    <w:rsid w:val="000475A0"/>
    <w:rsid w:val="00053127"/>
    <w:rsid w:val="00066243"/>
    <w:rsid w:val="00067693"/>
    <w:rsid w:val="00073468"/>
    <w:rsid w:val="00081595"/>
    <w:rsid w:val="000838C3"/>
    <w:rsid w:val="00097510"/>
    <w:rsid w:val="000B2446"/>
    <w:rsid w:val="000D1E1D"/>
    <w:rsid w:val="000D7C65"/>
    <w:rsid w:val="000E187C"/>
    <w:rsid w:val="000E2F81"/>
    <w:rsid w:val="00101F8D"/>
    <w:rsid w:val="00103BAF"/>
    <w:rsid w:val="00107EAB"/>
    <w:rsid w:val="00117946"/>
    <w:rsid w:val="00117E2C"/>
    <w:rsid w:val="00134860"/>
    <w:rsid w:val="001430FF"/>
    <w:rsid w:val="00146C47"/>
    <w:rsid w:val="00152FB8"/>
    <w:rsid w:val="00163150"/>
    <w:rsid w:val="00171CC8"/>
    <w:rsid w:val="00176658"/>
    <w:rsid w:val="0018239E"/>
    <w:rsid w:val="001B3410"/>
    <w:rsid w:val="001B7503"/>
    <w:rsid w:val="001C030D"/>
    <w:rsid w:val="001C4A84"/>
    <w:rsid w:val="001D3C3C"/>
    <w:rsid w:val="001D7411"/>
    <w:rsid w:val="001E3163"/>
    <w:rsid w:val="001E5902"/>
    <w:rsid w:val="00227F7A"/>
    <w:rsid w:val="002328D7"/>
    <w:rsid w:val="00233705"/>
    <w:rsid w:val="00246D99"/>
    <w:rsid w:val="002521D3"/>
    <w:rsid w:val="00255BD0"/>
    <w:rsid w:val="00257266"/>
    <w:rsid w:val="00262306"/>
    <w:rsid w:val="00270BF5"/>
    <w:rsid w:val="00275CA2"/>
    <w:rsid w:val="002804E4"/>
    <w:rsid w:val="0029416C"/>
    <w:rsid w:val="002A10C3"/>
    <w:rsid w:val="002A65A5"/>
    <w:rsid w:val="002B2424"/>
    <w:rsid w:val="002C04C4"/>
    <w:rsid w:val="002C52B6"/>
    <w:rsid w:val="002D08B0"/>
    <w:rsid w:val="002D1AE3"/>
    <w:rsid w:val="002F2ECE"/>
    <w:rsid w:val="0031416E"/>
    <w:rsid w:val="00341C8F"/>
    <w:rsid w:val="00350710"/>
    <w:rsid w:val="0035463A"/>
    <w:rsid w:val="0035708F"/>
    <w:rsid w:val="00380F78"/>
    <w:rsid w:val="00391D9D"/>
    <w:rsid w:val="00397EF6"/>
    <w:rsid w:val="003A1379"/>
    <w:rsid w:val="003B6C51"/>
    <w:rsid w:val="003B7487"/>
    <w:rsid w:val="003C1413"/>
    <w:rsid w:val="003C549F"/>
    <w:rsid w:val="003D5A16"/>
    <w:rsid w:val="003E7DB3"/>
    <w:rsid w:val="003F2103"/>
    <w:rsid w:val="003F5001"/>
    <w:rsid w:val="004227F0"/>
    <w:rsid w:val="00431175"/>
    <w:rsid w:val="004374A3"/>
    <w:rsid w:val="004547F0"/>
    <w:rsid w:val="00454D23"/>
    <w:rsid w:val="00463A91"/>
    <w:rsid w:val="00467343"/>
    <w:rsid w:val="00472141"/>
    <w:rsid w:val="00485618"/>
    <w:rsid w:val="00493686"/>
    <w:rsid w:val="004B6E37"/>
    <w:rsid w:val="004C2D25"/>
    <w:rsid w:val="004C32BA"/>
    <w:rsid w:val="004C68EF"/>
    <w:rsid w:val="0051764C"/>
    <w:rsid w:val="00570939"/>
    <w:rsid w:val="00575922"/>
    <w:rsid w:val="00596BE9"/>
    <w:rsid w:val="005A3C0D"/>
    <w:rsid w:val="005A3EE9"/>
    <w:rsid w:val="005A6C90"/>
    <w:rsid w:val="005B3497"/>
    <w:rsid w:val="005B37E6"/>
    <w:rsid w:val="005B3A3C"/>
    <w:rsid w:val="005B7A20"/>
    <w:rsid w:val="005D1A05"/>
    <w:rsid w:val="005E174B"/>
    <w:rsid w:val="005E3FB0"/>
    <w:rsid w:val="005F34E7"/>
    <w:rsid w:val="005F4B66"/>
    <w:rsid w:val="005F5208"/>
    <w:rsid w:val="005F7D91"/>
    <w:rsid w:val="00600383"/>
    <w:rsid w:val="00615C31"/>
    <w:rsid w:val="00620E04"/>
    <w:rsid w:val="00641318"/>
    <w:rsid w:val="0064405D"/>
    <w:rsid w:val="006455DF"/>
    <w:rsid w:val="00666978"/>
    <w:rsid w:val="00692279"/>
    <w:rsid w:val="00695557"/>
    <w:rsid w:val="006D4EA7"/>
    <w:rsid w:val="0070012A"/>
    <w:rsid w:val="00705386"/>
    <w:rsid w:val="0070664B"/>
    <w:rsid w:val="007071B8"/>
    <w:rsid w:val="007133ED"/>
    <w:rsid w:val="007155C2"/>
    <w:rsid w:val="00731E60"/>
    <w:rsid w:val="00732E06"/>
    <w:rsid w:val="007414DE"/>
    <w:rsid w:val="00742E4B"/>
    <w:rsid w:val="00760782"/>
    <w:rsid w:val="00760C0C"/>
    <w:rsid w:val="00764D8D"/>
    <w:rsid w:val="007905A9"/>
    <w:rsid w:val="007B0CB5"/>
    <w:rsid w:val="007E072B"/>
    <w:rsid w:val="007E1AB4"/>
    <w:rsid w:val="007E5500"/>
    <w:rsid w:val="007F055B"/>
    <w:rsid w:val="007F2FC1"/>
    <w:rsid w:val="00811C2F"/>
    <w:rsid w:val="00833D46"/>
    <w:rsid w:val="00836215"/>
    <w:rsid w:val="00840A97"/>
    <w:rsid w:val="00872B02"/>
    <w:rsid w:val="00873292"/>
    <w:rsid w:val="0087523C"/>
    <w:rsid w:val="00885189"/>
    <w:rsid w:val="00891ECD"/>
    <w:rsid w:val="008A000A"/>
    <w:rsid w:val="008A640A"/>
    <w:rsid w:val="008B30D6"/>
    <w:rsid w:val="008C0149"/>
    <w:rsid w:val="008D3EC3"/>
    <w:rsid w:val="008D5DED"/>
    <w:rsid w:val="008E0D56"/>
    <w:rsid w:val="008E25CA"/>
    <w:rsid w:val="008F34FC"/>
    <w:rsid w:val="008F66F4"/>
    <w:rsid w:val="0092711D"/>
    <w:rsid w:val="009341B2"/>
    <w:rsid w:val="00944CD7"/>
    <w:rsid w:val="00961190"/>
    <w:rsid w:val="009831B2"/>
    <w:rsid w:val="009A14AB"/>
    <w:rsid w:val="009A1ABE"/>
    <w:rsid w:val="009A3CB0"/>
    <w:rsid w:val="009C3DAF"/>
    <w:rsid w:val="009D142B"/>
    <w:rsid w:val="009E21A4"/>
    <w:rsid w:val="009F22C6"/>
    <w:rsid w:val="00A07E50"/>
    <w:rsid w:val="00A10FF7"/>
    <w:rsid w:val="00A11686"/>
    <w:rsid w:val="00A12C15"/>
    <w:rsid w:val="00A15397"/>
    <w:rsid w:val="00A35CE0"/>
    <w:rsid w:val="00A441EF"/>
    <w:rsid w:val="00A4462E"/>
    <w:rsid w:val="00A44AA4"/>
    <w:rsid w:val="00A61623"/>
    <w:rsid w:val="00A81A14"/>
    <w:rsid w:val="00A84687"/>
    <w:rsid w:val="00AA0458"/>
    <w:rsid w:val="00AB0A0E"/>
    <w:rsid w:val="00AD3B1A"/>
    <w:rsid w:val="00AD3B6E"/>
    <w:rsid w:val="00AF6D31"/>
    <w:rsid w:val="00B1751F"/>
    <w:rsid w:val="00B36D33"/>
    <w:rsid w:val="00B50F96"/>
    <w:rsid w:val="00B56722"/>
    <w:rsid w:val="00B66F17"/>
    <w:rsid w:val="00B67044"/>
    <w:rsid w:val="00B71D2B"/>
    <w:rsid w:val="00B74D39"/>
    <w:rsid w:val="00B75D63"/>
    <w:rsid w:val="00B81A6D"/>
    <w:rsid w:val="00B827C6"/>
    <w:rsid w:val="00B8304D"/>
    <w:rsid w:val="00B91DA4"/>
    <w:rsid w:val="00BA14D6"/>
    <w:rsid w:val="00BA7174"/>
    <w:rsid w:val="00BC237F"/>
    <w:rsid w:val="00BD4D66"/>
    <w:rsid w:val="00BE202C"/>
    <w:rsid w:val="00BF22C9"/>
    <w:rsid w:val="00C12630"/>
    <w:rsid w:val="00C225FF"/>
    <w:rsid w:val="00C34562"/>
    <w:rsid w:val="00C3774E"/>
    <w:rsid w:val="00C51246"/>
    <w:rsid w:val="00C57456"/>
    <w:rsid w:val="00C65387"/>
    <w:rsid w:val="00C87FAB"/>
    <w:rsid w:val="00C91FF7"/>
    <w:rsid w:val="00C92D15"/>
    <w:rsid w:val="00C94E53"/>
    <w:rsid w:val="00CA1599"/>
    <w:rsid w:val="00CA3284"/>
    <w:rsid w:val="00CC7922"/>
    <w:rsid w:val="00CE3FC3"/>
    <w:rsid w:val="00CE60CC"/>
    <w:rsid w:val="00CF3D5F"/>
    <w:rsid w:val="00D0048E"/>
    <w:rsid w:val="00D04E76"/>
    <w:rsid w:val="00D15D3B"/>
    <w:rsid w:val="00D23E7A"/>
    <w:rsid w:val="00D267ED"/>
    <w:rsid w:val="00D46006"/>
    <w:rsid w:val="00D56D8F"/>
    <w:rsid w:val="00D61063"/>
    <w:rsid w:val="00DA58DB"/>
    <w:rsid w:val="00DB35AF"/>
    <w:rsid w:val="00DD2733"/>
    <w:rsid w:val="00DD72D7"/>
    <w:rsid w:val="00DF5B88"/>
    <w:rsid w:val="00E02B4E"/>
    <w:rsid w:val="00E0589E"/>
    <w:rsid w:val="00E0697F"/>
    <w:rsid w:val="00E1288C"/>
    <w:rsid w:val="00E241FA"/>
    <w:rsid w:val="00E2595E"/>
    <w:rsid w:val="00E273C2"/>
    <w:rsid w:val="00E35374"/>
    <w:rsid w:val="00E37498"/>
    <w:rsid w:val="00E45628"/>
    <w:rsid w:val="00E50C19"/>
    <w:rsid w:val="00E64655"/>
    <w:rsid w:val="00E73081"/>
    <w:rsid w:val="00E856C9"/>
    <w:rsid w:val="00E95E08"/>
    <w:rsid w:val="00EA4F68"/>
    <w:rsid w:val="00EB6A8B"/>
    <w:rsid w:val="00EC6814"/>
    <w:rsid w:val="00ED411D"/>
    <w:rsid w:val="00EE2161"/>
    <w:rsid w:val="00EF2AE4"/>
    <w:rsid w:val="00EF38C6"/>
    <w:rsid w:val="00F27C1B"/>
    <w:rsid w:val="00F41845"/>
    <w:rsid w:val="00F55DF5"/>
    <w:rsid w:val="00F626CE"/>
    <w:rsid w:val="00F679C7"/>
    <w:rsid w:val="00F73F4D"/>
    <w:rsid w:val="00F7711A"/>
    <w:rsid w:val="00F80C72"/>
    <w:rsid w:val="00FA0D58"/>
    <w:rsid w:val="00FA1580"/>
    <w:rsid w:val="00FA56F4"/>
    <w:rsid w:val="00FB2199"/>
    <w:rsid w:val="00FB4EDA"/>
    <w:rsid w:val="00FB644C"/>
    <w:rsid w:val="00FB6E4D"/>
    <w:rsid w:val="00FD3BD5"/>
    <w:rsid w:val="00FE0716"/>
    <w:rsid w:val="00FE3DC8"/>
    <w:rsid w:val="00FF7172"/>
    <w:rsid w:val="04073F84"/>
    <w:rsid w:val="0B60750A"/>
    <w:rsid w:val="10686488"/>
    <w:rsid w:val="10DF728A"/>
    <w:rsid w:val="1264200E"/>
    <w:rsid w:val="141C5B77"/>
    <w:rsid w:val="18D8339D"/>
    <w:rsid w:val="1A21388F"/>
    <w:rsid w:val="1A570D2F"/>
    <w:rsid w:val="1D374443"/>
    <w:rsid w:val="1F7D65B3"/>
    <w:rsid w:val="26410EA0"/>
    <w:rsid w:val="28FB0B8D"/>
    <w:rsid w:val="2D2B7942"/>
    <w:rsid w:val="2D46481D"/>
    <w:rsid w:val="2E733B28"/>
    <w:rsid w:val="31852B5A"/>
    <w:rsid w:val="32D01238"/>
    <w:rsid w:val="3DFC59A8"/>
    <w:rsid w:val="3E165816"/>
    <w:rsid w:val="3ECF245E"/>
    <w:rsid w:val="3F2D7C01"/>
    <w:rsid w:val="3FB96314"/>
    <w:rsid w:val="43793986"/>
    <w:rsid w:val="53A44FAF"/>
    <w:rsid w:val="56267068"/>
    <w:rsid w:val="56E31E33"/>
    <w:rsid w:val="594329EC"/>
    <w:rsid w:val="5BEE1540"/>
    <w:rsid w:val="5DE61A5D"/>
    <w:rsid w:val="63C04243"/>
    <w:rsid w:val="649C01C7"/>
    <w:rsid w:val="694561E3"/>
    <w:rsid w:val="699A3F60"/>
    <w:rsid w:val="6A08122A"/>
    <w:rsid w:val="727A656B"/>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32"/>
    <customShpInfo spid="_x0000_s1036"/>
    <customShpInfo spid="_x0000_s1037"/>
    <customShpInfo spid="_x0000_s1035"/>
    <customShpInfo spid="_x0000_s1093"/>
    <customShpInfo spid="_x0000_s1094"/>
    <customShpInfo spid="_x0000_s1092"/>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C3E558A3-5685-49DF-A829-4385A004D8E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1889</Words>
  <Characters>10770</Characters>
  <Lines>89</Lines>
  <Paragraphs>25</Paragraphs>
  <TotalTime>1</TotalTime>
  <ScaleCrop>false</ScaleCrop>
  <LinksUpToDate>false</LinksUpToDate>
  <CharactersWithSpaces>12634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lenovo</cp:lastModifiedBy>
  <cp:lastPrinted>2019-09-27T00:42:00Z</cp:lastPrinted>
  <dcterms:modified xsi:type="dcterms:W3CDTF">2021-05-28T07:30:09Z</dcterms:modified>
  <dc:subject>石家庄市xxx部门</dc:subject>
  <dc:title>2017年度部门决算</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